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D5AB7">
      <w:pPr>
        <w:wordWrap w:val="0"/>
        <w:jc w:val="right"/>
        <w:rPr>
          <w:rFonts w:ascii="宋体" w:hAnsi="宋体" w:cs="宋体"/>
          <w:color w:val="000000" w:themeColor="text1"/>
          <w:kern w:val="0"/>
          <w:sz w:val="24"/>
          <w:highlight w:val="none"/>
          <w14:textFill>
            <w14:solidFill>
              <w14:schemeClr w14:val="tx1"/>
            </w14:solidFill>
          </w14:textFill>
        </w:rPr>
      </w:pPr>
      <w:r>
        <w:rPr>
          <w:rFonts w:ascii="宋体" w:hAnsi="宋体" w:cs="宋体"/>
          <w:color w:val="000000" w:themeColor="text1"/>
          <w:kern w:val="0"/>
          <w:sz w:val="24"/>
          <w:highlight w:val="none"/>
          <w14:textFill>
            <w14:solidFill>
              <w14:schemeClr w14:val="tx1"/>
            </w14:solidFill>
          </w14:textFill>
        </w:rPr>
        <w:drawing>
          <wp:inline distT="0" distB="0" distL="0" distR="0">
            <wp:extent cx="1943100" cy="84772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943100" cy="847725"/>
                    </a:xfrm>
                    <a:prstGeom prst="rect">
                      <a:avLst/>
                    </a:prstGeom>
                    <a:noFill/>
                    <a:ln>
                      <a:noFill/>
                    </a:ln>
                  </pic:spPr>
                </pic:pic>
              </a:graphicData>
            </a:graphic>
          </wp:inline>
        </w:drawing>
      </w:r>
      <w:r>
        <w:rPr>
          <w:rFonts w:hint="eastAsia" w:ascii="宋体" w:hAnsi="宋体" w:cs="宋体"/>
          <w:color w:val="000000" w:themeColor="text1"/>
          <w:kern w:val="0"/>
          <w:sz w:val="24"/>
          <w:highlight w:val="none"/>
          <w14:textFill>
            <w14:solidFill>
              <w14:schemeClr w14:val="tx1"/>
            </w14:solidFill>
          </w14:textFill>
        </w:rPr>
        <w:t xml:space="preserve">    </w:t>
      </w:r>
    </w:p>
    <w:p w14:paraId="5AE3F453">
      <w:pPr>
        <w:jc w:val="center"/>
        <w:rPr>
          <w:spacing w:val="20"/>
        </w:rPr>
      </w:pPr>
      <w:r>
        <w:rPr>
          <w:rFonts w:hint="eastAsia" w:ascii="宋体" w:hAnsi="宋体"/>
          <w:b/>
          <w:color w:val="000000" w:themeColor="text1"/>
          <w:spacing w:val="20"/>
          <w:sz w:val="52"/>
          <w:szCs w:val="52"/>
          <w:highlight w:val="none"/>
          <w14:textFill>
            <w14:solidFill>
              <w14:schemeClr w14:val="tx1"/>
            </w14:solidFill>
          </w14:textFill>
        </w:rPr>
        <w:t>中华人民共和国国家计量技术规范</w:t>
      </w:r>
    </w:p>
    <w:p w14:paraId="165BAE34">
      <w:pPr>
        <w:spacing w:before="0" w:after="0" w:line="420" w:lineRule="exact"/>
        <w:ind w:firstLine="4760" w:firstLineChars="1700"/>
        <w:outlineLvl w:val="9"/>
        <w:rPr>
          <w:rFonts w:ascii="黑体" w:hAnsi="黑体" w:eastAsia="黑体"/>
          <w:b w:val="0"/>
          <w:bCs w:val="0"/>
          <w:color w:val="000000" w:themeColor="text1"/>
          <w:sz w:val="28"/>
          <w:highlight w:val="none"/>
          <w14:textFill>
            <w14:solidFill>
              <w14:schemeClr w14:val="tx1"/>
            </w14:solidFill>
          </w14:textFill>
        </w:rPr>
      </w:pPr>
      <w:bookmarkStart w:id="0" w:name="_Toc514316609"/>
      <w:r>
        <w:rPr>
          <w:rFonts w:hint="eastAsia"/>
          <w:color w:val="000000" w:themeColor="text1"/>
          <w:sz w:val="28"/>
          <w:highlight w:val="none"/>
          <w14:textFill>
            <w14:solidFill>
              <w14:schemeClr w14:val="tx1"/>
            </w14:solidFill>
          </w14:textFill>
        </w:rPr>
        <w:t xml:space="preserve">        </w:t>
      </w:r>
      <w:r>
        <w:rPr>
          <w:rFonts w:hint="eastAsia" w:ascii="黑体" w:hAnsi="黑体" w:eastAsia="黑体"/>
          <w:color w:val="000000" w:themeColor="text1"/>
          <w:sz w:val="28"/>
          <w:highlight w:val="none"/>
          <w14:textFill>
            <w14:solidFill>
              <w14:schemeClr w14:val="tx1"/>
            </w14:solidFill>
          </w14:textFill>
        </w:rPr>
        <w:t xml:space="preserve"> </w:t>
      </w:r>
      <w:bookmarkStart w:id="1" w:name="_Toc101442443"/>
      <w:bookmarkStart w:id="2" w:name="_Toc54707736"/>
      <w:bookmarkStart w:id="3" w:name="_Toc101281453"/>
      <w:bookmarkStart w:id="4" w:name="_Toc529806650"/>
      <w:r>
        <w:rPr>
          <w:rFonts w:hint="eastAsia" w:ascii="黑体" w:hAnsi="黑体" w:eastAsia="黑体"/>
          <w:b w:val="0"/>
          <w:bCs w:val="0"/>
          <w:color w:val="000000" w:themeColor="text1"/>
          <w:sz w:val="28"/>
          <w:highlight w:val="none"/>
          <w14:textFill>
            <w14:solidFill>
              <w14:schemeClr w14:val="tx1"/>
            </w14:solidFill>
          </w14:textFill>
        </w:rPr>
        <w:t>JJF XXXX-XXXX</w:t>
      </w:r>
      <w:bookmarkEnd w:id="0"/>
      <w:bookmarkEnd w:id="1"/>
      <w:bookmarkEnd w:id="2"/>
      <w:bookmarkEnd w:id="3"/>
      <w:bookmarkEnd w:id="4"/>
    </w:p>
    <w:p w14:paraId="609B5E40">
      <w:pPr>
        <w:autoSpaceDE w:val="0"/>
        <w:autoSpaceDN w:val="0"/>
        <w:adjustRightInd w:val="0"/>
        <w:rPr>
          <w:rFonts w:eastAsiaTheme="minorEastAsia"/>
          <w:sz w:val="20"/>
          <w:szCs w:val="22"/>
          <w:highlight w:val="none"/>
          <w:u w:val="single"/>
        </w:rPr>
      </w:pPr>
      <w:r>
        <w:rPr>
          <w:rFonts w:eastAsiaTheme="minorEastAsia"/>
          <w:sz w:val="20"/>
          <w:szCs w:val="22"/>
          <w:highlight w:val="none"/>
        </w:rPr>
        <mc:AlternateContent>
          <mc:Choice Requires="wps">
            <w:drawing>
              <wp:anchor distT="0" distB="0" distL="114300" distR="114300" simplePos="0" relativeHeight="251659264" behindDoc="0" locked="0" layoutInCell="1" allowOverlap="1">
                <wp:simplePos x="0" y="0"/>
                <wp:positionH relativeFrom="column">
                  <wp:posOffset>224790</wp:posOffset>
                </wp:positionH>
                <wp:positionV relativeFrom="paragraph">
                  <wp:posOffset>143510</wp:posOffset>
                </wp:positionV>
                <wp:extent cx="5126355" cy="36195"/>
                <wp:effectExtent l="13335" t="8255" r="13335" b="12700"/>
                <wp:wrapNone/>
                <wp:docPr id="10" name="Line 137"/>
                <wp:cNvGraphicFramePr/>
                <a:graphic xmlns:a="http://schemas.openxmlformats.org/drawingml/2006/main">
                  <a:graphicData uri="http://schemas.microsoft.com/office/word/2010/wordprocessingShape">
                    <wps:wsp>
                      <wps:cNvCnPr>
                        <a:cxnSpLocks noChangeShapeType="1"/>
                      </wps:cNvCnPr>
                      <wps:spPr bwMode="auto">
                        <a:xfrm>
                          <a:off x="0" y="0"/>
                          <a:ext cx="5126355" cy="36195"/>
                        </a:xfrm>
                        <a:prstGeom prst="line">
                          <a:avLst/>
                        </a:prstGeom>
                        <a:noFill/>
                        <a:ln w="9525">
                          <a:solidFill>
                            <a:schemeClr val="tx1">
                              <a:lumMod val="100000"/>
                              <a:lumOff val="0"/>
                            </a:schemeClr>
                          </a:solidFill>
                          <a:round/>
                        </a:ln>
                      </wps:spPr>
                      <wps:bodyPr/>
                    </wps:wsp>
                  </a:graphicData>
                </a:graphic>
              </wp:anchor>
            </w:drawing>
          </mc:Choice>
          <mc:Fallback>
            <w:pict>
              <v:line id="Line 137" o:spid="_x0000_s1026" o:spt="20" style="position:absolute;left:0pt;margin-left:17.7pt;margin-top:11.3pt;height:2.85pt;width:403.65pt;z-index:251659264;mso-width-relative:page;mso-height-relative:page;" filled="f" stroked="t" coordsize="21600,21600" o:gfxdata="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K8A5PXAAAA&#10;CAEAAA8AAAAAAAAAAQAgAAAAIgAAAGRycy9kb3ducmV2LnhtbFBLAQIUABQAAAAIAIdO4kAjOUpe&#10;5QEAANwDAAAOAAAAAAAAAAEAIAAAACYBAABkcnMvZTJvRG9jLnhtbFBLBQYAAAAABgAGAFkBAAB9&#10;BQAAAAA=&#10;">
                <v:fill on="f" focussize="0,0"/>
                <v:stroke color="#000000 [3229]" joinstyle="round"/>
                <v:imagedata o:title=""/>
                <o:lock v:ext="edit" aspectratio="f"/>
              </v:line>
            </w:pict>
          </mc:Fallback>
        </mc:AlternateContent>
      </w:r>
    </w:p>
    <w:p w14:paraId="437B9D3C">
      <w:pPr>
        <w:autoSpaceDE w:val="0"/>
        <w:autoSpaceDN w:val="0"/>
        <w:adjustRightInd w:val="0"/>
        <w:rPr>
          <w:rFonts w:eastAsiaTheme="minorEastAsia"/>
          <w:sz w:val="20"/>
          <w:szCs w:val="22"/>
          <w:highlight w:val="none"/>
          <w:u w:val="single"/>
        </w:rPr>
      </w:pPr>
    </w:p>
    <w:p w14:paraId="784BD46B">
      <w:pPr>
        <w:autoSpaceDE w:val="0"/>
        <w:autoSpaceDN w:val="0"/>
        <w:adjustRightInd w:val="0"/>
        <w:rPr>
          <w:rFonts w:eastAsiaTheme="minorEastAsia"/>
          <w:sz w:val="20"/>
          <w:szCs w:val="22"/>
          <w:highlight w:val="none"/>
          <w:u w:val="single"/>
        </w:rPr>
      </w:pPr>
      <w:bookmarkStart w:id="71" w:name="_GoBack"/>
      <w:bookmarkEnd w:id="71"/>
    </w:p>
    <w:p w14:paraId="102113F8">
      <w:pPr>
        <w:autoSpaceDE w:val="0"/>
        <w:autoSpaceDN w:val="0"/>
        <w:adjustRightInd w:val="0"/>
        <w:rPr>
          <w:rFonts w:eastAsiaTheme="minorEastAsia"/>
          <w:sz w:val="20"/>
          <w:szCs w:val="22"/>
          <w:highlight w:val="none"/>
          <w:u w:val="single"/>
        </w:rPr>
      </w:pPr>
    </w:p>
    <w:p w14:paraId="6007D7C0">
      <w:pPr>
        <w:autoSpaceDE w:val="0"/>
        <w:autoSpaceDN w:val="0"/>
        <w:adjustRightInd w:val="0"/>
        <w:rPr>
          <w:rFonts w:eastAsiaTheme="minorEastAsia"/>
          <w:sz w:val="20"/>
          <w:szCs w:val="22"/>
          <w:highlight w:val="none"/>
          <w:u w:val="single"/>
        </w:rPr>
      </w:pPr>
    </w:p>
    <w:p w14:paraId="27ECC59B">
      <w:pPr>
        <w:autoSpaceDE w:val="0"/>
        <w:autoSpaceDN w:val="0"/>
        <w:adjustRightInd w:val="0"/>
        <w:rPr>
          <w:rFonts w:eastAsiaTheme="minorEastAsia"/>
          <w:sz w:val="20"/>
          <w:szCs w:val="22"/>
          <w:highlight w:val="none"/>
          <w:u w:val="single"/>
        </w:rPr>
      </w:pPr>
    </w:p>
    <w:p w14:paraId="41659184">
      <w:pPr>
        <w:autoSpaceDE w:val="0"/>
        <w:autoSpaceDN w:val="0"/>
        <w:adjustRightInd w:val="0"/>
        <w:rPr>
          <w:rFonts w:eastAsiaTheme="minorEastAsia"/>
          <w:sz w:val="20"/>
          <w:szCs w:val="22"/>
          <w:highlight w:val="none"/>
          <w:u w:val="single"/>
        </w:rPr>
      </w:pPr>
    </w:p>
    <w:p w14:paraId="708C565B">
      <w:pPr>
        <w:autoSpaceDE w:val="0"/>
        <w:autoSpaceDN w:val="0"/>
        <w:adjustRightInd w:val="0"/>
        <w:jc w:val="center"/>
        <w:rPr>
          <w:rFonts w:eastAsiaTheme="minorEastAsia"/>
          <w:sz w:val="48"/>
          <w:szCs w:val="48"/>
          <w:highlight w:val="none"/>
        </w:rPr>
      </w:pPr>
      <w:r>
        <w:rPr>
          <w:rFonts w:eastAsiaTheme="minorEastAsia"/>
          <w:sz w:val="48"/>
          <w:szCs w:val="48"/>
          <w:highlight w:val="none"/>
        </w:rPr>
        <w:t>准光腔法介电常数测量系统</w:t>
      </w:r>
      <w:r>
        <w:rPr>
          <w:rFonts w:hint="eastAsia" w:eastAsiaTheme="minorEastAsia"/>
          <w:sz w:val="48"/>
          <w:szCs w:val="48"/>
          <w:highlight w:val="none"/>
          <w:lang w:val="en-US" w:eastAsia="zh-CN"/>
        </w:rPr>
        <w:t>测试技术</w:t>
      </w:r>
      <w:r>
        <w:rPr>
          <w:rFonts w:eastAsiaTheme="minorEastAsia"/>
          <w:sz w:val="48"/>
          <w:szCs w:val="48"/>
          <w:highlight w:val="none"/>
        </w:rPr>
        <w:t>规范</w:t>
      </w:r>
    </w:p>
    <w:p w14:paraId="52D9E65B">
      <w:pPr>
        <w:autoSpaceDE w:val="0"/>
        <w:autoSpaceDN w:val="0"/>
        <w:adjustRightInd w:val="0"/>
        <w:jc w:val="center"/>
        <w:rPr>
          <w:rFonts w:eastAsiaTheme="minorEastAsia"/>
          <w:sz w:val="24"/>
          <w:highlight w:val="none"/>
        </w:rPr>
      </w:pPr>
      <w:r>
        <w:rPr>
          <w:rFonts w:eastAsiaTheme="minorEastAsia"/>
          <w:sz w:val="24"/>
          <w:highlight w:val="none"/>
        </w:rPr>
        <w:t>Metrological Specification for the ***</w:t>
      </w:r>
    </w:p>
    <w:p w14:paraId="0C67104C">
      <w:pPr>
        <w:autoSpaceDE w:val="0"/>
        <w:autoSpaceDN w:val="0"/>
        <w:adjustRightInd w:val="0"/>
        <w:jc w:val="center"/>
        <w:rPr>
          <w:rFonts w:eastAsiaTheme="minorEastAsia"/>
          <w:sz w:val="28"/>
          <w:szCs w:val="28"/>
          <w:highlight w:val="none"/>
        </w:rPr>
      </w:pPr>
      <w:r>
        <w:rPr>
          <w:rFonts w:eastAsiaTheme="minorEastAsia"/>
          <w:sz w:val="28"/>
          <w:szCs w:val="28"/>
          <w:highlight w:val="none"/>
        </w:rPr>
        <w:t>（</w:t>
      </w:r>
      <w:r>
        <w:rPr>
          <w:rFonts w:hint="eastAsia" w:eastAsiaTheme="minorEastAsia"/>
          <w:sz w:val="28"/>
          <w:szCs w:val="28"/>
          <w:highlight w:val="none"/>
          <w:lang w:val="en-US" w:eastAsia="zh-CN"/>
        </w:rPr>
        <w:t>征求意见</w:t>
      </w:r>
      <w:r>
        <w:rPr>
          <w:rFonts w:eastAsiaTheme="minorEastAsia"/>
          <w:sz w:val="28"/>
          <w:szCs w:val="28"/>
          <w:highlight w:val="none"/>
          <w:lang w:val="zh-CN"/>
        </w:rPr>
        <w:t>稿</w:t>
      </w:r>
      <w:r>
        <w:rPr>
          <w:rFonts w:eastAsiaTheme="minorEastAsia"/>
          <w:sz w:val="28"/>
          <w:szCs w:val="28"/>
          <w:highlight w:val="none"/>
        </w:rPr>
        <w:t>）</w:t>
      </w:r>
    </w:p>
    <w:p w14:paraId="68E8E1EA">
      <w:pPr>
        <w:autoSpaceDE w:val="0"/>
        <w:autoSpaceDN w:val="0"/>
        <w:adjustRightInd w:val="0"/>
        <w:jc w:val="center"/>
        <w:rPr>
          <w:rFonts w:eastAsiaTheme="minorEastAsia"/>
          <w:sz w:val="28"/>
          <w:szCs w:val="28"/>
          <w:highlight w:val="none"/>
        </w:rPr>
      </w:pPr>
    </w:p>
    <w:p w14:paraId="492FB196">
      <w:pPr>
        <w:autoSpaceDE w:val="0"/>
        <w:autoSpaceDN w:val="0"/>
        <w:adjustRightInd w:val="0"/>
        <w:jc w:val="center"/>
        <w:rPr>
          <w:rFonts w:eastAsiaTheme="minorEastAsia"/>
          <w:sz w:val="28"/>
          <w:szCs w:val="28"/>
          <w:highlight w:val="none"/>
        </w:rPr>
      </w:pPr>
    </w:p>
    <w:p w14:paraId="45BCB0B1">
      <w:pPr>
        <w:autoSpaceDE w:val="0"/>
        <w:autoSpaceDN w:val="0"/>
        <w:adjustRightInd w:val="0"/>
        <w:jc w:val="center"/>
        <w:rPr>
          <w:rFonts w:eastAsiaTheme="minorEastAsia"/>
          <w:sz w:val="28"/>
          <w:szCs w:val="28"/>
          <w:highlight w:val="none"/>
        </w:rPr>
      </w:pPr>
    </w:p>
    <w:p w14:paraId="72D35109">
      <w:pPr>
        <w:autoSpaceDE w:val="0"/>
        <w:autoSpaceDN w:val="0"/>
        <w:adjustRightInd w:val="0"/>
        <w:jc w:val="center"/>
        <w:rPr>
          <w:rFonts w:eastAsiaTheme="minorEastAsia"/>
          <w:sz w:val="28"/>
          <w:szCs w:val="28"/>
          <w:highlight w:val="none"/>
        </w:rPr>
      </w:pPr>
    </w:p>
    <w:p w14:paraId="2FD8C533">
      <w:pPr>
        <w:autoSpaceDE w:val="0"/>
        <w:autoSpaceDN w:val="0"/>
        <w:adjustRightInd w:val="0"/>
        <w:jc w:val="center"/>
        <w:rPr>
          <w:rFonts w:eastAsiaTheme="minorEastAsia"/>
          <w:sz w:val="28"/>
          <w:szCs w:val="28"/>
          <w:highlight w:val="none"/>
        </w:rPr>
      </w:pPr>
    </w:p>
    <w:p w14:paraId="2A1203FB">
      <w:pPr>
        <w:autoSpaceDE w:val="0"/>
        <w:autoSpaceDN w:val="0"/>
        <w:adjustRightInd w:val="0"/>
        <w:jc w:val="center"/>
        <w:rPr>
          <w:rFonts w:eastAsiaTheme="minorEastAsia"/>
          <w:sz w:val="28"/>
          <w:szCs w:val="28"/>
          <w:highlight w:val="none"/>
        </w:rPr>
      </w:pPr>
    </w:p>
    <w:p w14:paraId="102F6E7B">
      <w:pPr>
        <w:autoSpaceDE w:val="0"/>
        <w:autoSpaceDN w:val="0"/>
        <w:adjustRightInd w:val="0"/>
        <w:jc w:val="center"/>
        <w:rPr>
          <w:rFonts w:eastAsiaTheme="minorEastAsia"/>
          <w:sz w:val="28"/>
          <w:szCs w:val="28"/>
          <w:highlight w:val="none"/>
        </w:rPr>
      </w:pPr>
    </w:p>
    <w:p w14:paraId="06AE244D">
      <w:pPr>
        <w:autoSpaceDE w:val="0"/>
        <w:autoSpaceDN w:val="0"/>
        <w:adjustRightInd w:val="0"/>
        <w:jc w:val="center"/>
        <w:rPr>
          <w:rFonts w:eastAsiaTheme="minorEastAsia"/>
          <w:sz w:val="28"/>
          <w:szCs w:val="28"/>
          <w:highlight w:val="none"/>
        </w:rPr>
      </w:pPr>
    </w:p>
    <w:p w14:paraId="61B3599D">
      <w:pPr>
        <w:autoSpaceDE w:val="0"/>
        <w:autoSpaceDN w:val="0"/>
        <w:adjustRightInd w:val="0"/>
        <w:jc w:val="center"/>
        <w:rPr>
          <w:rFonts w:eastAsiaTheme="minorEastAsia"/>
          <w:sz w:val="28"/>
          <w:szCs w:val="28"/>
          <w:highlight w:val="none"/>
        </w:rPr>
      </w:pPr>
    </w:p>
    <w:p w14:paraId="3881CC5A">
      <w:pPr>
        <w:autoSpaceDE w:val="0"/>
        <w:autoSpaceDN w:val="0"/>
        <w:adjustRightInd w:val="0"/>
        <w:jc w:val="center"/>
        <w:rPr>
          <w:rFonts w:eastAsiaTheme="minorEastAsia"/>
          <w:sz w:val="28"/>
          <w:szCs w:val="28"/>
          <w:highlight w:val="none"/>
        </w:rPr>
      </w:pPr>
    </w:p>
    <w:p w14:paraId="66897D3F">
      <w:pPr>
        <w:autoSpaceDE w:val="0"/>
        <w:autoSpaceDN w:val="0"/>
        <w:adjustRightInd w:val="0"/>
        <w:rPr>
          <w:rFonts w:eastAsiaTheme="minorEastAsia"/>
          <w:sz w:val="24"/>
          <w:highlight w:val="none"/>
          <w:u w:val="single"/>
        </w:rPr>
      </w:pPr>
      <w:r>
        <w:rPr>
          <w:rFonts w:eastAsiaTheme="minorEastAsia"/>
          <w:sz w:val="24"/>
          <w:highlight w:val="none"/>
          <w:u w:val="single"/>
        </w:rPr>
        <w:t xml:space="preserve">20XX-XX-XX   </w:t>
      </w:r>
      <w:r>
        <w:rPr>
          <w:rFonts w:eastAsiaTheme="minorEastAsia"/>
          <w:sz w:val="24"/>
          <w:highlight w:val="none"/>
          <w:u w:val="single"/>
          <w:lang w:val="zh-CN"/>
        </w:rPr>
        <w:t>发布</w:t>
      </w:r>
      <w:r>
        <w:rPr>
          <w:rFonts w:eastAsiaTheme="minorEastAsia"/>
          <w:sz w:val="24"/>
          <w:highlight w:val="none"/>
          <w:u w:val="single"/>
        </w:rPr>
        <w:t xml:space="preserve">                           20XX-XX-XX   </w:t>
      </w:r>
      <w:r>
        <w:rPr>
          <w:rFonts w:eastAsiaTheme="minorEastAsia"/>
          <w:sz w:val="24"/>
          <w:highlight w:val="none"/>
          <w:u w:val="single"/>
          <w:lang w:val="zh-CN"/>
        </w:rPr>
        <w:t>实施</w:t>
      </w:r>
    </w:p>
    <w:p w14:paraId="13953056">
      <w:pPr>
        <w:autoSpaceDE w:val="0"/>
        <w:autoSpaceDN w:val="0"/>
        <w:adjustRightInd w:val="0"/>
        <w:jc w:val="center"/>
        <w:rPr>
          <w:rFonts w:eastAsiaTheme="minorEastAsia"/>
          <w:sz w:val="40"/>
          <w:szCs w:val="40"/>
          <w:highlight w:val="none"/>
        </w:rPr>
        <w:sectPr>
          <w:headerReference r:id="rId4" w:type="first"/>
          <w:headerReference r:id="rId3" w:type="default"/>
          <w:pgSz w:w="12240" w:h="15840"/>
          <w:pgMar w:top="1440" w:right="1797" w:bottom="1440" w:left="1797" w:header="720" w:footer="720" w:gutter="0"/>
          <w:pgNumType w:start="1"/>
          <w:cols w:space="720" w:num="1"/>
          <w:titlePg/>
        </w:sectPr>
      </w:pPr>
      <w:r>
        <w:rPr>
          <w:rFonts w:eastAsiaTheme="minorEastAsia"/>
          <w:sz w:val="40"/>
          <w:szCs w:val="40"/>
          <w:highlight w:val="none"/>
          <w:lang w:val="zh-CN"/>
        </w:rPr>
        <w:t>国家市场监督管理总局</w:t>
      </w:r>
      <w:r>
        <w:rPr>
          <w:rFonts w:eastAsiaTheme="minorEastAsia"/>
          <w:sz w:val="24"/>
          <w:highlight w:val="none"/>
          <w:lang w:val="zh-CN"/>
        </w:rPr>
        <w:t>发布</w:t>
      </w:r>
    </w:p>
    <w:p w14:paraId="0BDAC5CF">
      <w:pPr>
        <w:autoSpaceDE w:val="0"/>
        <w:autoSpaceDN w:val="0"/>
        <w:adjustRightInd w:val="0"/>
        <w:spacing w:line="276" w:lineRule="auto"/>
        <w:ind w:right="3606" w:rightChars="1717"/>
        <w:jc w:val="center"/>
        <w:rPr>
          <w:rFonts w:eastAsiaTheme="minorEastAsia"/>
          <w:sz w:val="32"/>
          <w:szCs w:val="32"/>
          <w:highlight w:val="none"/>
        </w:rPr>
      </w:pPr>
      <w:r>
        <w:rPr>
          <w:rFonts w:eastAsiaTheme="minorEastAsia"/>
          <w:sz w:val="32"/>
          <w:szCs w:val="32"/>
          <w:highlight w:val="none"/>
        </w:rPr>
        <w:t>准光腔法介电常数测量系统</w:t>
      </w:r>
    </w:p>
    <w:p w14:paraId="62E34D45">
      <w:pPr>
        <w:autoSpaceDE w:val="0"/>
        <w:autoSpaceDN w:val="0"/>
        <w:adjustRightInd w:val="0"/>
        <w:spacing w:line="276" w:lineRule="auto"/>
        <w:ind w:right="3606" w:rightChars="1717"/>
        <w:jc w:val="center"/>
        <w:rPr>
          <w:rFonts w:eastAsiaTheme="minorEastAsia"/>
          <w:sz w:val="40"/>
          <w:szCs w:val="40"/>
          <w:highlight w:val="none"/>
        </w:rPr>
      </w:pPr>
      <w:r>
        <w:rPr>
          <w:rFonts w:hint="eastAsia" w:eastAsiaTheme="minorEastAsia"/>
          <w:sz w:val="32"/>
          <w:szCs w:val="32"/>
          <w:highlight w:val="none"/>
          <w:lang w:val="en-US" w:eastAsia="zh-CN"/>
        </w:rPr>
        <w:t>测试</w:t>
      </w:r>
      <w:r>
        <w:rPr>
          <w:rFonts w:eastAsiaTheme="minorEastAsia"/>
          <w:sz w:val="32"/>
          <w:szCs w:val="32"/>
          <w:highlight w:val="none"/>
        </w:rPr>
        <w:t>技术规范</w:t>
      </w:r>
      <w:r>
        <w:rPr>
          <w:rFonts w:eastAsiaTheme="minorEastAsia"/>
          <w:sz w:val="32"/>
          <w:szCs w:val="32"/>
          <w:highlight w:val="none"/>
        </w:rPr>
        <mc:AlternateContent>
          <mc:Choice Requires="wpg">
            <w:drawing>
              <wp:anchor distT="0" distB="0" distL="114300" distR="114300" simplePos="0" relativeHeight="251660288" behindDoc="0" locked="0" layoutInCell="1" allowOverlap="1">
                <wp:simplePos x="0" y="0"/>
                <wp:positionH relativeFrom="column">
                  <wp:posOffset>3564255</wp:posOffset>
                </wp:positionH>
                <wp:positionV relativeFrom="paragraph">
                  <wp:posOffset>24130</wp:posOffset>
                </wp:positionV>
                <wp:extent cx="1822450" cy="635000"/>
                <wp:effectExtent l="19050" t="24130" r="25400" b="26670"/>
                <wp:wrapNone/>
                <wp:docPr id="7" name="Group 139"/>
                <wp:cNvGraphicFramePr/>
                <a:graphic xmlns:a="http://schemas.openxmlformats.org/drawingml/2006/main">
                  <a:graphicData uri="http://schemas.microsoft.com/office/word/2010/wordprocessingGroup">
                    <wpg:wgp>
                      <wpg:cNvGrpSpPr/>
                      <wpg:grpSpPr>
                        <a:xfrm>
                          <a:off x="0" y="0"/>
                          <a:ext cx="1822450" cy="635000"/>
                          <a:chOff x="7092" y="1900"/>
                          <a:chExt cx="2870" cy="1000"/>
                        </a:xfrm>
                      </wpg:grpSpPr>
                      <wps:wsp>
                        <wps:cNvPr id="8" name="自选图形 12"/>
                        <wps:cNvSpPr>
                          <a:spLocks noChangeArrowheads="1"/>
                        </wps:cNvSpPr>
                        <wps:spPr bwMode="auto">
                          <a:xfrm>
                            <a:off x="7092" y="1900"/>
                            <a:ext cx="2870" cy="1000"/>
                          </a:xfrm>
                          <a:prstGeom prst="roundRect">
                            <a:avLst>
                              <a:gd name="adj" fmla="val 16667"/>
                            </a:avLst>
                          </a:prstGeom>
                          <a:solidFill>
                            <a:srgbClr val="FFFFFF"/>
                          </a:solidFill>
                          <a:ln w="38100" cmpd="dbl">
                            <a:solidFill>
                              <a:srgbClr val="000000"/>
                            </a:solidFill>
                            <a:prstDash val="dash"/>
                            <a:round/>
                          </a:ln>
                        </wps:spPr>
                        <wps:bodyPr rot="0" vert="horz" wrap="square" lIns="91440" tIns="45720" rIns="91440" bIns="45720" anchor="t" anchorCtr="0" upright="1">
                          <a:noAutofit/>
                        </wps:bodyPr>
                      </wps:wsp>
                      <wps:wsp>
                        <wps:cNvPr id="9" name="文本框 15"/>
                        <wps:cNvSpPr txBox="1">
                          <a:spLocks noChangeArrowheads="1"/>
                        </wps:cNvSpPr>
                        <wps:spPr bwMode="auto">
                          <a:xfrm>
                            <a:off x="7134" y="2180"/>
                            <a:ext cx="2610" cy="468"/>
                          </a:xfrm>
                          <a:prstGeom prst="rect">
                            <a:avLst/>
                          </a:prstGeom>
                          <a:noFill/>
                          <a:ln>
                            <a:noFill/>
                          </a:ln>
                        </wps:spPr>
                        <wps:txbx>
                          <w:txbxContent>
                            <w:p w14:paraId="365B6813">
                              <w:pPr>
                                <w:rPr>
                                  <w:rFonts w:ascii="黑体" w:eastAsia="黑体"/>
                                  <w:b/>
                                  <w:spacing w:val="-20"/>
                                  <w:sz w:val="28"/>
                                  <w:szCs w:val="28"/>
                                </w:rPr>
                              </w:pPr>
                              <w:r>
                                <w:rPr>
                                  <w:rFonts w:hint="eastAsia" w:ascii="黑体" w:eastAsia="黑体"/>
                                  <w:sz w:val="28"/>
                                  <w:szCs w:val="28"/>
                                </w:rPr>
                                <w:t>JJF</w:t>
                              </w:r>
                              <w:r>
                                <w:rPr>
                                  <w:rFonts w:hint="eastAsia" w:ascii="黑体" w:eastAsia="黑体"/>
                                  <w:spacing w:val="-20"/>
                                  <w:sz w:val="28"/>
                                  <w:szCs w:val="28"/>
                                </w:rPr>
                                <w:t xml:space="preserve"> ××××-××</w:t>
                              </w:r>
                              <w:r>
                                <w:rPr>
                                  <w:rFonts w:hint="eastAsia" w:ascii="黑体" w:eastAsia="黑体"/>
                                  <w:b/>
                                  <w:spacing w:val="-20"/>
                                  <w:sz w:val="28"/>
                                  <w:szCs w:val="28"/>
                                </w:rPr>
                                <w:t>×××</w:t>
                              </w:r>
                            </w:p>
                          </w:txbxContent>
                        </wps:txbx>
                        <wps:bodyPr rot="0" vert="horz" wrap="square" lIns="91440" tIns="45720" rIns="91440" bIns="45720" anchor="t" anchorCtr="0" upright="1">
                          <a:noAutofit/>
                        </wps:bodyPr>
                      </wps:wsp>
                    </wpg:wgp>
                  </a:graphicData>
                </a:graphic>
              </wp:anchor>
            </w:drawing>
          </mc:Choice>
          <mc:Fallback>
            <w:pict>
              <v:group id="Group 139" o:spid="_x0000_s1026" o:spt="203" style="position:absolute;left:0pt;margin-left:280.65pt;margin-top:1.9pt;height:50pt;width:143.5pt;z-index:251660288;mso-width-relative:page;mso-height-relative:page;" coordorigin="7092,1900" o:gfxdata="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">
                <o:lock v:ext="edit" aspectratio="f"/>
                <v:roundrect id="自选图形 12" o:spid="_x0000_s1026" o:spt="2" style="position:absolute;left:7092;top:1900;height:1000;width:2870;" fillcolor="#FFFFFF" filled="t" stroked="t" coordsize="21600,21600" arcsize="0.166666666666667" o:gfxdata="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mdZf25AAAA2gAA&#10;AA8AAAAAAAAAAQAgAAAAIgAAAGRycy9kb3ducmV2LnhtbFBLAQIUABQAAAAIAIdO4kAzLwWeOwAA&#10;ADkAAAAQAAAAAAAAAAEAIAAAAAgBAABkcnMvc2hhcGV4bWwueG1sUEsFBgAAAAAGAAYAWwEAALID&#10;AAAAAA==&#10;">
                  <v:fill on="t" focussize="0,0"/>
                  <v:stroke weight="3pt" color="#000000" linestyle="thinThin" joinstyle="round" dashstyle="dash"/>
                  <v:imagedata o:title=""/>
                  <o:lock v:ext="edit" aspectratio="f"/>
                </v:roundrect>
                <v:shape id="文本框 15" o:spid="_x0000_s1026" o:spt="202" type="#_x0000_t202" style="position:absolute;left:7134;top:2180;height:468;width:2610;"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365B6813">
                        <w:pPr>
                          <w:rPr>
                            <w:rFonts w:ascii="黑体" w:eastAsia="黑体"/>
                            <w:b/>
                            <w:spacing w:val="-20"/>
                            <w:sz w:val="28"/>
                            <w:szCs w:val="28"/>
                          </w:rPr>
                        </w:pPr>
                        <w:r>
                          <w:rPr>
                            <w:rFonts w:hint="eastAsia" w:ascii="黑体" w:eastAsia="黑体"/>
                            <w:sz w:val="28"/>
                            <w:szCs w:val="28"/>
                          </w:rPr>
                          <w:t>JJF</w:t>
                        </w:r>
                        <w:r>
                          <w:rPr>
                            <w:rFonts w:hint="eastAsia" w:ascii="黑体" w:eastAsia="黑体"/>
                            <w:spacing w:val="-20"/>
                            <w:sz w:val="28"/>
                            <w:szCs w:val="28"/>
                          </w:rPr>
                          <w:t xml:space="preserve"> ××××-××</w:t>
                        </w:r>
                        <w:r>
                          <w:rPr>
                            <w:rFonts w:hint="eastAsia" w:ascii="黑体" w:eastAsia="黑体"/>
                            <w:b/>
                            <w:spacing w:val="-20"/>
                            <w:sz w:val="28"/>
                            <w:szCs w:val="28"/>
                          </w:rPr>
                          <w:t>×××</w:t>
                        </w:r>
                      </w:p>
                    </w:txbxContent>
                  </v:textbox>
                </v:shape>
              </v:group>
            </w:pict>
          </mc:Fallback>
        </mc:AlternateContent>
      </w:r>
    </w:p>
    <w:p w14:paraId="45183D50">
      <w:pPr>
        <w:autoSpaceDE w:val="0"/>
        <w:autoSpaceDN w:val="0"/>
        <w:adjustRightInd w:val="0"/>
        <w:spacing w:line="276" w:lineRule="auto"/>
        <w:rPr>
          <w:rFonts w:eastAsiaTheme="minorEastAsia"/>
          <w:sz w:val="24"/>
          <w:highlight w:val="none"/>
        </w:rPr>
      </w:pPr>
      <w:r>
        <w:rPr>
          <w:rFonts w:eastAsiaTheme="minorEastAsia"/>
          <w:sz w:val="24"/>
          <w:highlight w:val="none"/>
        </w:rPr>
        <w:t xml:space="preserve">  </w:t>
      </w:r>
      <w:r>
        <w:rPr>
          <w:rFonts w:eastAsiaTheme="minorEastAsia"/>
          <w:sz w:val="24"/>
          <w:highlight w:val="none"/>
        </w:rPr>
        <w:t xml:space="preserve">Metrological Specification </w:t>
      </w:r>
      <w:r>
        <w:rPr>
          <w:rFonts w:eastAsiaTheme="minorEastAsia"/>
          <w:sz w:val="24"/>
          <w:highlight w:val="none"/>
        </w:rPr>
        <w:t>for</w:t>
      </w:r>
    </w:p>
    <w:p w14:paraId="4DF4F975">
      <w:pPr>
        <w:autoSpaceDE w:val="0"/>
        <w:autoSpaceDN w:val="0"/>
        <w:adjustRightInd w:val="0"/>
        <w:spacing w:line="276" w:lineRule="auto"/>
        <w:rPr>
          <w:rFonts w:eastAsiaTheme="minorEastAsia"/>
          <w:sz w:val="24"/>
          <w:highlight w:val="none"/>
        </w:rPr>
      </w:pPr>
      <w:r>
        <w:rPr>
          <w:rFonts w:eastAsiaTheme="minorEastAsia"/>
          <w:sz w:val="24"/>
          <w:highlight w:val="none"/>
        </w:rPr>
        <w:t xml:space="preserve">  *** </w:t>
      </w:r>
    </w:p>
    <w:p w14:paraId="4A12DDB6">
      <w:pPr>
        <w:autoSpaceDE w:val="0"/>
        <w:autoSpaceDN w:val="0"/>
        <w:adjustRightInd w:val="0"/>
        <w:ind w:left="560" w:hanging="560"/>
        <w:rPr>
          <w:rFonts w:eastAsiaTheme="minorEastAsia"/>
          <w:sz w:val="24"/>
          <w:highlight w:val="none"/>
          <w:u w:val="single"/>
        </w:rPr>
      </w:pPr>
      <w:r>
        <w:rPr>
          <w:rFonts w:eastAsiaTheme="minorEastAsia"/>
          <w:sz w:val="24"/>
          <w:highlight w:val="none"/>
          <w:u w:val="single"/>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116840</wp:posOffset>
                </wp:positionV>
                <wp:extent cx="4914900" cy="0"/>
                <wp:effectExtent l="0" t="0" r="0" b="0"/>
                <wp:wrapNone/>
                <wp:docPr id="6" name="直线 7"/>
                <wp:cNvGraphicFramePr/>
                <a:graphic xmlns:a="http://schemas.openxmlformats.org/drawingml/2006/main">
                  <a:graphicData uri="http://schemas.microsoft.com/office/word/2010/wordprocessingShape">
                    <wps:wsp>
                      <wps:cNvCnPr/>
                      <wps:spPr>
                        <a:xfrm>
                          <a:off x="0" y="0"/>
                          <a:ext cx="49149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margin-left:18pt;margin-top:9.2pt;height:0pt;width:387pt;z-index:251661312;mso-width-relative:page;mso-height-relative:page;" filled="f" stroked="t" coordsize="21600,21600" o:gfxdata="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MH0GrUAAAACAEA&#10;AA8AAAAAAAAAAQAgAAAAIgAAAGRycy9kb3ducmV2LnhtbFBLAQIUABQAAAAIAIdO4kAKM4XL5QEA&#10;AN0DAAAOAAAAAAAAAAEAIAAAACMBAABkcnMvZTJvRG9jLnhtbFBLBQYAAAAABgAGAFkBAAB6BQAA&#10;AAA=&#10;">
                <v:fill on="f" focussize="0,0"/>
                <v:stroke color="#000000" joinstyle="round"/>
                <v:imagedata o:title=""/>
                <o:lock v:ext="edit" aspectratio="f"/>
              </v:line>
            </w:pict>
          </mc:Fallback>
        </mc:AlternateContent>
      </w:r>
    </w:p>
    <w:p w14:paraId="50D071A6">
      <w:pPr>
        <w:autoSpaceDE w:val="0"/>
        <w:autoSpaceDN w:val="0"/>
        <w:adjustRightInd w:val="0"/>
        <w:ind w:firstLine="480" w:firstLineChars="200"/>
        <w:rPr>
          <w:rFonts w:eastAsiaTheme="minorEastAsia"/>
          <w:sz w:val="24"/>
          <w:highlight w:val="none"/>
        </w:rPr>
      </w:pPr>
    </w:p>
    <w:p w14:paraId="67A4C1AC">
      <w:pPr>
        <w:autoSpaceDE w:val="0"/>
        <w:autoSpaceDN w:val="0"/>
        <w:adjustRightInd w:val="0"/>
        <w:ind w:firstLine="480" w:firstLineChars="200"/>
        <w:rPr>
          <w:rFonts w:eastAsiaTheme="minorEastAsia"/>
          <w:sz w:val="24"/>
          <w:highlight w:val="none"/>
        </w:rPr>
      </w:pPr>
    </w:p>
    <w:p w14:paraId="36A6D18E">
      <w:pPr>
        <w:autoSpaceDE w:val="0"/>
        <w:autoSpaceDN w:val="0"/>
        <w:adjustRightInd w:val="0"/>
        <w:ind w:left="560" w:hanging="560"/>
        <w:rPr>
          <w:rFonts w:eastAsiaTheme="minorEastAsia"/>
          <w:sz w:val="24"/>
          <w:highlight w:val="none"/>
        </w:rPr>
      </w:pPr>
    </w:p>
    <w:p w14:paraId="38C207E8">
      <w:pPr>
        <w:autoSpaceDE w:val="0"/>
        <w:autoSpaceDN w:val="0"/>
        <w:adjustRightInd w:val="0"/>
        <w:ind w:left="560" w:hanging="560"/>
        <w:rPr>
          <w:rFonts w:eastAsiaTheme="minorEastAsia"/>
          <w:sz w:val="24"/>
          <w:highlight w:val="none"/>
        </w:rPr>
      </w:pPr>
    </w:p>
    <w:p w14:paraId="06B62886">
      <w:pPr>
        <w:autoSpaceDE w:val="0"/>
        <w:autoSpaceDN w:val="0"/>
        <w:adjustRightInd w:val="0"/>
        <w:ind w:left="560" w:hanging="560"/>
        <w:rPr>
          <w:rFonts w:eastAsiaTheme="minorEastAsia"/>
          <w:sz w:val="24"/>
          <w:highlight w:val="none"/>
        </w:rPr>
      </w:pPr>
    </w:p>
    <w:p w14:paraId="153D5CF9">
      <w:pPr>
        <w:autoSpaceDE w:val="0"/>
        <w:autoSpaceDN w:val="0"/>
        <w:adjustRightInd w:val="0"/>
        <w:ind w:left="560" w:hanging="560"/>
        <w:rPr>
          <w:rFonts w:eastAsiaTheme="minorEastAsia"/>
          <w:sz w:val="24"/>
          <w:highlight w:val="none"/>
        </w:rPr>
      </w:pPr>
    </w:p>
    <w:p w14:paraId="6E246A16">
      <w:pPr>
        <w:autoSpaceDE w:val="0"/>
        <w:autoSpaceDN w:val="0"/>
        <w:adjustRightInd w:val="0"/>
        <w:ind w:left="560" w:hanging="560"/>
        <w:rPr>
          <w:rFonts w:eastAsiaTheme="minorEastAsia"/>
          <w:sz w:val="24"/>
          <w:highlight w:val="none"/>
        </w:rPr>
      </w:pPr>
    </w:p>
    <w:p w14:paraId="0606BF96">
      <w:pPr>
        <w:autoSpaceDE w:val="0"/>
        <w:autoSpaceDN w:val="0"/>
        <w:adjustRightInd w:val="0"/>
        <w:ind w:left="560" w:hanging="560"/>
        <w:rPr>
          <w:rFonts w:eastAsiaTheme="minorEastAsia"/>
          <w:sz w:val="24"/>
          <w:highlight w:val="none"/>
        </w:rPr>
      </w:pPr>
    </w:p>
    <w:p w14:paraId="4BF09F0E">
      <w:pPr>
        <w:autoSpaceDE w:val="0"/>
        <w:autoSpaceDN w:val="0"/>
        <w:adjustRightInd w:val="0"/>
        <w:spacing w:line="360" w:lineRule="auto"/>
        <w:ind w:left="559" w:firstLine="1120"/>
        <w:rPr>
          <w:rFonts w:eastAsiaTheme="minorEastAsia"/>
          <w:sz w:val="24"/>
          <w:highlight w:val="none"/>
        </w:rPr>
      </w:pPr>
      <w:r>
        <w:rPr>
          <w:rFonts w:eastAsiaTheme="minorEastAsia"/>
          <w:sz w:val="24"/>
          <w:highlight w:val="none"/>
          <w:lang w:val="zh-CN"/>
        </w:rPr>
        <w:t>归</w:t>
      </w:r>
      <w:r>
        <w:rPr>
          <w:rFonts w:eastAsiaTheme="minorEastAsia"/>
          <w:sz w:val="24"/>
          <w:highlight w:val="none"/>
        </w:rPr>
        <w:t xml:space="preserve"> </w:t>
      </w:r>
      <w:r>
        <w:rPr>
          <w:rFonts w:eastAsiaTheme="minorEastAsia"/>
          <w:sz w:val="24"/>
          <w:highlight w:val="none"/>
          <w:lang w:val="zh-CN"/>
        </w:rPr>
        <w:t>口</w:t>
      </w:r>
      <w:r>
        <w:rPr>
          <w:rFonts w:eastAsiaTheme="minorEastAsia"/>
          <w:sz w:val="24"/>
          <w:highlight w:val="none"/>
        </w:rPr>
        <w:t xml:space="preserve"> </w:t>
      </w:r>
      <w:r>
        <w:rPr>
          <w:rFonts w:eastAsiaTheme="minorEastAsia"/>
          <w:sz w:val="24"/>
          <w:highlight w:val="none"/>
          <w:lang w:val="zh-CN"/>
        </w:rPr>
        <w:t>单</w:t>
      </w:r>
      <w:r>
        <w:rPr>
          <w:rFonts w:eastAsiaTheme="minorEastAsia"/>
          <w:sz w:val="24"/>
          <w:highlight w:val="none"/>
        </w:rPr>
        <w:t xml:space="preserve"> </w:t>
      </w:r>
      <w:r>
        <w:rPr>
          <w:rFonts w:eastAsiaTheme="minorEastAsia"/>
          <w:sz w:val="24"/>
          <w:highlight w:val="none"/>
          <w:lang w:val="zh-CN"/>
        </w:rPr>
        <w:t>位</w:t>
      </w:r>
      <w:r>
        <w:rPr>
          <w:rFonts w:eastAsiaTheme="minorEastAsia"/>
          <w:sz w:val="24"/>
          <w:highlight w:val="none"/>
        </w:rPr>
        <w:t xml:space="preserve">： </w:t>
      </w:r>
      <w:r>
        <w:rPr>
          <w:rFonts w:eastAsiaTheme="minorEastAsia"/>
          <w:sz w:val="24"/>
          <w:highlight w:val="none"/>
          <w:lang w:val="zh-CN"/>
        </w:rPr>
        <w:t>全国</w:t>
      </w:r>
      <w:r>
        <w:rPr>
          <w:rFonts w:eastAsiaTheme="minorEastAsia"/>
          <w:sz w:val="24"/>
          <w:highlight w:val="none"/>
        </w:rPr>
        <w:t>新材料与纳米</w:t>
      </w:r>
      <w:r>
        <w:rPr>
          <w:rFonts w:eastAsiaTheme="minorEastAsia"/>
          <w:sz w:val="24"/>
          <w:highlight w:val="none"/>
          <w:lang w:val="zh-CN"/>
        </w:rPr>
        <w:t>计量技术委员会</w:t>
      </w:r>
    </w:p>
    <w:p w14:paraId="67ECE1AA">
      <w:pPr>
        <w:autoSpaceDE w:val="0"/>
        <w:autoSpaceDN w:val="0"/>
        <w:adjustRightInd w:val="0"/>
        <w:spacing w:line="360" w:lineRule="auto"/>
        <w:jc w:val="left"/>
        <w:rPr>
          <w:rFonts w:eastAsiaTheme="minorEastAsia"/>
          <w:sz w:val="24"/>
          <w:highlight w:val="none"/>
        </w:rPr>
      </w:pPr>
      <w:r>
        <w:rPr>
          <w:rFonts w:hint="eastAsia" w:eastAsiaTheme="minorEastAsia"/>
          <w:sz w:val="24"/>
          <w:highlight w:val="none"/>
        </w:rPr>
        <w:t xml:space="preserve">              </w:t>
      </w:r>
      <w:r>
        <w:rPr>
          <w:rFonts w:eastAsiaTheme="minorEastAsia"/>
          <w:sz w:val="24"/>
          <w:highlight w:val="none"/>
        </w:rPr>
        <w:t>主要</w:t>
      </w:r>
      <w:r>
        <w:rPr>
          <w:rFonts w:eastAsiaTheme="minorEastAsia"/>
          <w:sz w:val="24"/>
          <w:highlight w:val="none"/>
          <w:lang w:val="zh-CN"/>
        </w:rPr>
        <w:t>起</w:t>
      </w:r>
      <w:r>
        <w:rPr>
          <w:rFonts w:eastAsiaTheme="minorEastAsia"/>
          <w:sz w:val="24"/>
          <w:highlight w:val="none"/>
          <w:lang w:val="zh-CN"/>
        </w:rPr>
        <w:t>草单位</w:t>
      </w:r>
      <w:r>
        <w:rPr>
          <w:rFonts w:eastAsiaTheme="minorEastAsia"/>
          <w:sz w:val="24"/>
          <w:highlight w:val="none"/>
        </w:rPr>
        <w:t>：</w:t>
      </w:r>
    </w:p>
    <w:p w14:paraId="0D7B3B0A">
      <w:pPr>
        <w:autoSpaceDE w:val="0"/>
        <w:autoSpaceDN w:val="0"/>
        <w:adjustRightInd w:val="0"/>
        <w:spacing w:line="360" w:lineRule="auto"/>
        <w:ind w:firstLine="3360" w:firstLineChars="1400"/>
        <w:jc w:val="left"/>
        <w:rPr>
          <w:rFonts w:eastAsiaTheme="minorEastAsia"/>
          <w:sz w:val="24"/>
          <w:highlight w:val="none"/>
          <w:lang w:val="zh-CN"/>
        </w:rPr>
      </w:pPr>
    </w:p>
    <w:p w14:paraId="41319795">
      <w:pPr>
        <w:autoSpaceDE w:val="0"/>
        <w:autoSpaceDN w:val="0"/>
        <w:adjustRightInd w:val="0"/>
        <w:spacing w:line="360" w:lineRule="auto"/>
        <w:ind w:left="559" w:firstLine="1120"/>
        <w:rPr>
          <w:rFonts w:eastAsiaTheme="minorEastAsia"/>
          <w:sz w:val="24"/>
          <w:highlight w:val="none"/>
        </w:rPr>
      </w:pPr>
      <w:r>
        <w:rPr>
          <w:rFonts w:eastAsiaTheme="minorEastAsia"/>
          <w:sz w:val="24"/>
          <w:highlight w:val="none"/>
        </w:rPr>
        <w:t>参与</w:t>
      </w:r>
      <w:r>
        <w:rPr>
          <w:rFonts w:eastAsiaTheme="minorEastAsia"/>
          <w:sz w:val="24"/>
          <w:highlight w:val="none"/>
        </w:rPr>
        <w:t>起草单位：</w:t>
      </w:r>
    </w:p>
    <w:p w14:paraId="232C9A8A">
      <w:pPr>
        <w:autoSpaceDE w:val="0"/>
        <w:autoSpaceDN w:val="0"/>
        <w:adjustRightInd w:val="0"/>
        <w:spacing w:line="360" w:lineRule="auto"/>
        <w:ind w:firstLine="1440" w:firstLineChars="600"/>
        <w:rPr>
          <w:rFonts w:eastAsiaTheme="minorEastAsia"/>
          <w:sz w:val="24"/>
          <w:highlight w:val="none"/>
        </w:rPr>
      </w:pPr>
    </w:p>
    <w:p w14:paraId="01316D03">
      <w:pPr>
        <w:autoSpaceDE w:val="0"/>
        <w:autoSpaceDN w:val="0"/>
        <w:adjustRightInd w:val="0"/>
        <w:spacing w:line="360" w:lineRule="auto"/>
        <w:ind w:left="6" w:firstLine="3574"/>
        <w:rPr>
          <w:rFonts w:eastAsiaTheme="minorEastAsia"/>
          <w:sz w:val="24"/>
          <w:highlight w:val="none"/>
        </w:rPr>
      </w:pPr>
      <w:r>
        <w:rPr>
          <w:rFonts w:eastAsiaTheme="minorEastAsia"/>
          <w:sz w:val="24"/>
          <w:highlight w:val="none"/>
          <w:lang w:val="zh-CN"/>
        </w:rPr>
        <w:t xml:space="preserve"> </w:t>
      </w:r>
    </w:p>
    <w:p w14:paraId="602FCD80">
      <w:pPr>
        <w:autoSpaceDE w:val="0"/>
        <w:autoSpaceDN w:val="0"/>
        <w:adjustRightInd w:val="0"/>
        <w:spacing w:line="360" w:lineRule="auto"/>
        <w:ind w:left="3780" w:leftChars="800" w:hanging="2100"/>
        <w:rPr>
          <w:rFonts w:eastAsiaTheme="minorEastAsia"/>
          <w:sz w:val="24"/>
          <w:highlight w:val="none"/>
        </w:rPr>
      </w:pPr>
    </w:p>
    <w:p w14:paraId="24EB974C">
      <w:pPr>
        <w:autoSpaceDE w:val="0"/>
        <w:autoSpaceDN w:val="0"/>
        <w:adjustRightInd w:val="0"/>
        <w:spacing w:line="360" w:lineRule="auto"/>
        <w:ind w:left="559" w:firstLine="1120"/>
        <w:rPr>
          <w:rFonts w:eastAsiaTheme="minorEastAsia"/>
          <w:sz w:val="24"/>
          <w:highlight w:val="none"/>
        </w:rPr>
      </w:pPr>
    </w:p>
    <w:p w14:paraId="7D17FDD8">
      <w:pPr>
        <w:autoSpaceDE w:val="0"/>
        <w:autoSpaceDN w:val="0"/>
        <w:adjustRightInd w:val="0"/>
        <w:spacing w:line="360" w:lineRule="auto"/>
        <w:ind w:left="559" w:firstLine="1120"/>
        <w:rPr>
          <w:rFonts w:eastAsiaTheme="minorEastAsia"/>
          <w:sz w:val="24"/>
          <w:highlight w:val="none"/>
        </w:rPr>
      </w:pPr>
    </w:p>
    <w:p w14:paraId="1C72535D">
      <w:pPr>
        <w:autoSpaceDE w:val="0"/>
        <w:autoSpaceDN w:val="0"/>
        <w:adjustRightInd w:val="0"/>
        <w:ind w:left="559" w:firstLine="1120"/>
        <w:rPr>
          <w:rFonts w:eastAsiaTheme="minorEastAsia"/>
          <w:sz w:val="24"/>
          <w:highlight w:val="none"/>
        </w:rPr>
      </w:pPr>
    </w:p>
    <w:p w14:paraId="68F4CF0E">
      <w:pPr>
        <w:autoSpaceDE w:val="0"/>
        <w:autoSpaceDN w:val="0"/>
        <w:adjustRightInd w:val="0"/>
        <w:ind w:left="559" w:firstLine="1120"/>
        <w:rPr>
          <w:rFonts w:eastAsiaTheme="minorEastAsia"/>
          <w:sz w:val="24"/>
          <w:highlight w:val="none"/>
        </w:rPr>
      </w:pPr>
    </w:p>
    <w:p w14:paraId="12B835BD">
      <w:pPr>
        <w:autoSpaceDE w:val="0"/>
        <w:autoSpaceDN w:val="0"/>
        <w:adjustRightInd w:val="0"/>
        <w:ind w:left="559" w:firstLine="1120"/>
        <w:rPr>
          <w:rFonts w:eastAsiaTheme="minorEastAsia"/>
          <w:sz w:val="24"/>
          <w:highlight w:val="none"/>
        </w:rPr>
      </w:pPr>
    </w:p>
    <w:p w14:paraId="3FF24B7B">
      <w:pPr>
        <w:autoSpaceDE w:val="0"/>
        <w:autoSpaceDN w:val="0"/>
        <w:adjustRightInd w:val="0"/>
        <w:ind w:left="559" w:firstLine="1120"/>
        <w:rPr>
          <w:rFonts w:eastAsiaTheme="minorEastAsia"/>
          <w:sz w:val="24"/>
          <w:highlight w:val="none"/>
        </w:rPr>
      </w:pPr>
    </w:p>
    <w:p w14:paraId="4D4693E3">
      <w:pPr>
        <w:autoSpaceDE w:val="0"/>
        <w:autoSpaceDN w:val="0"/>
        <w:adjustRightInd w:val="0"/>
        <w:ind w:left="559" w:firstLine="1120"/>
        <w:rPr>
          <w:rFonts w:eastAsiaTheme="minorEastAsia"/>
          <w:sz w:val="24"/>
          <w:highlight w:val="none"/>
        </w:rPr>
      </w:pPr>
    </w:p>
    <w:p w14:paraId="27A43C04">
      <w:pPr>
        <w:autoSpaceDE w:val="0"/>
        <w:autoSpaceDN w:val="0"/>
        <w:adjustRightInd w:val="0"/>
        <w:ind w:left="559" w:firstLine="1120"/>
        <w:rPr>
          <w:rFonts w:eastAsiaTheme="minorEastAsia"/>
          <w:sz w:val="24"/>
          <w:highlight w:val="none"/>
        </w:rPr>
      </w:pPr>
    </w:p>
    <w:p w14:paraId="629F230B">
      <w:pPr>
        <w:autoSpaceDE w:val="0"/>
        <w:autoSpaceDN w:val="0"/>
        <w:adjustRightInd w:val="0"/>
        <w:spacing w:line="360" w:lineRule="auto"/>
        <w:ind w:firstLine="560"/>
        <w:rPr>
          <w:rFonts w:eastAsiaTheme="minorEastAsia"/>
          <w:sz w:val="24"/>
          <w:highlight w:val="none"/>
          <w:u w:val="single"/>
        </w:rPr>
      </w:pPr>
      <w:r>
        <w:rPr>
          <w:rFonts w:eastAsiaTheme="minorEastAsia"/>
          <w:sz w:val="24"/>
          <w:highlight w:val="none"/>
          <w:lang w:val="zh-CN"/>
        </w:rPr>
        <w:t>本规范委托全国</w:t>
      </w:r>
      <w:r>
        <w:rPr>
          <w:rFonts w:eastAsiaTheme="minorEastAsia"/>
          <w:sz w:val="24"/>
          <w:highlight w:val="none"/>
        </w:rPr>
        <w:t>新材料与纳米</w:t>
      </w:r>
      <w:r>
        <w:rPr>
          <w:rFonts w:eastAsiaTheme="minorEastAsia"/>
          <w:sz w:val="24"/>
          <w:highlight w:val="none"/>
          <w:lang w:val="zh-CN"/>
        </w:rPr>
        <w:t>计量技术委员会负责解释</w:t>
      </w:r>
    </w:p>
    <w:p w14:paraId="00545631">
      <w:pPr>
        <w:autoSpaceDE w:val="0"/>
        <w:autoSpaceDN w:val="0"/>
        <w:adjustRightInd w:val="0"/>
        <w:spacing w:line="360" w:lineRule="auto"/>
        <w:rPr>
          <w:rFonts w:eastAsiaTheme="minorEastAsia"/>
          <w:sz w:val="24"/>
          <w:highlight w:val="none"/>
          <w:lang w:val="zh-CN"/>
        </w:rPr>
        <w:sectPr>
          <w:headerReference r:id="rId5" w:type="first"/>
          <w:footerReference r:id="rId7" w:type="first"/>
          <w:footerReference r:id="rId6" w:type="default"/>
          <w:pgSz w:w="12240" w:h="15840"/>
          <w:pgMar w:top="1440" w:right="1797" w:bottom="1440" w:left="1797" w:header="720" w:footer="720" w:gutter="0"/>
          <w:pgNumType w:start="1"/>
          <w:cols w:space="720" w:num="1"/>
          <w:titlePg/>
        </w:sectPr>
      </w:pPr>
    </w:p>
    <w:p w14:paraId="20DAACFC">
      <w:pPr>
        <w:autoSpaceDE w:val="0"/>
        <w:autoSpaceDN w:val="0"/>
        <w:adjustRightInd w:val="0"/>
        <w:spacing w:line="360" w:lineRule="auto"/>
        <w:ind w:firstLine="420"/>
        <w:rPr>
          <w:rFonts w:eastAsiaTheme="minorEastAsia"/>
          <w:sz w:val="24"/>
          <w:highlight w:val="none"/>
          <w:lang w:val="zh-CN"/>
        </w:rPr>
      </w:pPr>
    </w:p>
    <w:p w14:paraId="002AF3A0">
      <w:pPr>
        <w:autoSpaceDE w:val="0"/>
        <w:autoSpaceDN w:val="0"/>
        <w:adjustRightInd w:val="0"/>
        <w:spacing w:line="360" w:lineRule="auto"/>
        <w:ind w:firstLine="420"/>
        <w:rPr>
          <w:rFonts w:eastAsiaTheme="minorEastAsia"/>
          <w:sz w:val="24"/>
          <w:highlight w:val="none"/>
          <w:lang w:val="zh-CN"/>
        </w:rPr>
      </w:pPr>
      <w:r>
        <w:rPr>
          <w:rFonts w:eastAsiaTheme="minorEastAsia"/>
          <w:sz w:val="24"/>
          <w:highlight w:val="none"/>
          <w:lang w:val="zh-CN"/>
        </w:rPr>
        <w:t>本规范主要起草人：</w:t>
      </w:r>
    </w:p>
    <w:p w14:paraId="0AD0FDD2">
      <w:pPr>
        <w:autoSpaceDE w:val="0"/>
        <w:autoSpaceDN w:val="0"/>
        <w:adjustRightInd w:val="0"/>
        <w:spacing w:line="360" w:lineRule="auto"/>
        <w:ind w:left="1260" w:firstLine="420"/>
        <w:rPr>
          <w:rFonts w:eastAsiaTheme="minorEastAsia"/>
          <w:sz w:val="24"/>
          <w:highlight w:val="none"/>
          <w:lang w:val="zh-CN"/>
        </w:rPr>
      </w:pPr>
    </w:p>
    <w:p w14:paraId="0EA619B7">
      <w:pPr>
        <w:autoSpaceDE w:val="0"/>
        <w:autoSpaceDN w:val="0"/>
        <w:adjustRightInd w:val="0"/>
        <w:spacing w:line="360" w:lineRule="auto"/>
        <w:ind w:left="980" w:firstLine="700"/>
        <w:rPr>
          <w:rFonts w:eastAsiaTheme="minorEastAsia"/>
          <w:sz w:val="24"/>
          <w:highlight w:val="none"/>
          <w:lang w:val="zh-CN"/>
        </w:rPr>
      </w:pPr>
    </w:p>
    <w:p w14:paraId="15353AB8">
      <w:pPr>
        <w:autoSpaceDE w:val="0"/>
        <w:autoSpaceDN w:val="0"/>
        <w:adjustRightInd w:val="0"/>
        <w:spacing w:line="360" w:lineRule="auto"/>
        <w:ind w:left="1260" w:firstLine="420"/>
        <w:rPr>
          <w:rFonts w:eastAsiaTheme="minorEastAsia"/>
          <w:sz w:val="24"/>
          <w:highlight w:val="none"/>
        </w:rPr>
      </w:pPr>
    </w:p>
    <w:p w14:paraId="361A66BE">
      <w:pPr>
        <w:autoSpaceDE w:val="0"/>
        <w:autoSpaceDN w:val="0"/>
        <w:adjustRightInd w:val="0"/>
        <w:spacing w:line="360" w:lineRule="auto"/>
        <w:ind w:left="560" w:firstLine="700"/>
        <w:rPr>
          <w:rFonts w:eastAsiaTheme="minorEastAsia"/>
          <w:sz w:val="24"/>
          <w:highlight w:val="none"/>
          <w:lang w:val="zh-CN"/>
        </w:rPr>
      </w:pPr>
      <w:r>
        <w:rPr>
          <w:rFonts w:eastAsiaTheme="minorEastAsia"/>
          <w:sz w:val="24"/>
          <w:highlight w:val="none"/>
          <w:lang w:val="zh-CN"/>
        </w:rPr>
        <w:t xml:space="preserve">参加起草人： </w:t>
      </w:r>
    </w:p>
    <w:p w14:paraId="089DE050">
      <w:pPr>
        <w:autoSpaceDE w:val="0"/>
        <w:autoSpaceDN w:val="0"/>
        <w:adjustRightInd w:val="0"/>
        <w:spacing w:line="360" w:lineRule="auto"/>
        <w:ind w:left="1260" w:firstLine="420"/>
        <w:rPr>
          <w:rFonts w:eastAsiaTheme="minorEastAsia"/>
          <w:sz w:val="24"/>
          <w:highlight w:val="none"/>
        </w:rPr>
      </w:pPr>
    </w:p>
    <w:p w14:paraId="2DE46A91">
      <w:pPr>
        <w:autoSpaceDE w:val="0"/>
        <w:autoSpaceDN w:val="0"/>
        <w:adjustRightInd w:val="0"/>
        <w:spacing w:line="360" w:lineRule="auto"/>
        <w:ind w:left="1260" w:firstLine="420"/>
        <w:rPr>
          <w:rFonts w:eastAsiaTheme="minorEastAsia"/>
          <w:sz w:val="24"/>
          <w:highlight w:val="none"/>
        </w:rPr>
      </w:pPr>
    </w:p>
    <w:p w14:paraId="2ED90F40">
      <w:pPr>
        <w:autoSpaceDE w:val="0"/>
        <w:autoSpaceDN w:val="0"/>
        <w:adjustRightInd w:val="0"/>
        <w:spacing w:line="360" w:lineRule="auto"/>
        <w:ind w:left="980" w:firstLine="700"/>
        <w:rPr>
          <w:rFonts w:eastAsiaTheme="minorEastAsia"/>
          <w:sz w:val="24"/>
          <w:highlight w:val="none"/>
        </w:rPr>
      </w:pPr>
    </w:p>
    <w:p w14:paraId="582AC42B">
      <w:pPr>
        <w:autoSpaceDE w:val="0"/>
        <w:autoSpaceDN w:val="0"/>
        <w:adjustRightInd w:val="0"/>
        <w:spacing w:line="360" w:lineRule="auto"/>
        <w:ind w:firstLine="2520" w:firstLineChars="1050"/>
        <w:rPr>
          <w:rFonts w:eastAsiaTheme="minorEastAsia"/>
          <w:sz w:val="24"/>
          <w:highlight w:val="none"/>
          <w:lang w:val="zh-CN"/>
        </w:rPr>
      </w:pPr>
    </w:p>
    <w:p w14:paraId="16831C8E">
      <w:pPr>
        <w:autoSpaceDE w:val="0"/>
        <w:autoSpaceDN w:val="0"/>
        <w:adjustRightInd w:val="0"/>
        <w:spacing w:line="360" w:lineRule="auto"/>
        <w:rPr>
          <w:rFonts w:eastAsiaTheme="minorEastAsia"/>
          <w:sz w:val="28"/>
          <w:szCs w:val="28"/>
          <w:highlight w:val="none"/>
          <w:lang w:val="zh-CN"/>
        </w:rPr>
        <w:sectPr>
          <w:footerReference r:id="rId9" w:type="first"/>
          <w:footerReference r:id="rId8" w:type="default"/>
          <w:pgSz w:w="12240" w:h="15840"/>
          <w:pgMar w:top="1440" w:right="1797" w:bottom="1440" w:left="1797" w:header="720" w:footer="720" w:gutter="0"/>
          <w:cols w:space="720" w:num="1"/>
          <w:titlePg/>
        </w:sectPr>
      </w:pPr>
      <w:r>
        <w:rPr>
          <w:rFonts w:eastAsiaTheme="minorEastAsia"/>
          <w:sz w:val="24"/>
          <w:highlight w:val="none"/>
          <w:lang w:val="zh-CN"/>
        </w:rPr>
        <w:tab/>
      </w:r>
      <w:r>
        <w:rPr>
          <w:rFonts w:eastAsiaTheme="minorEastAsia"/>
          <w:sz w:val="24"/>
          <w:highlight w:val="none"/>
          <w:lang w:val="zh-CN"/>
        </w:rPr>
        <w:tab/>
      </w:r>
    </w:p>
    <w:p w14:paraId="58E36882">
      <w:pPr>
        <w:autoSpaceDE w:val="0"/>
        <w:autoSpaceDN w:val="0"/>
        <w:adjustRightInd w:val="0"/>
        <w:spacing w:line="360" w:lineRule="auto"/>
        <w:jc w:val="center"/>
        <w:rPr>
          <w:rFonts w:eastAsiaTheme="minorEastAsia"/>
          <w:sz w:val="40"/>
          <w:szCs w:val="40"/>
          <w:highlight w:val="none"/>
          <w:lang w:val="zh-CN"/>
        </w:rPr>
      </w:pPr>
      <w:r>
        <w:rPr>
          <w:rFonts w:eastAsiaTheme="minorEastAsia"/>
          <w:sz w:val="40"/>
          <w:szCs w:val="40"/>
          <w:highlight w:val="none"/>
          <w:lang w:val="zh-CN"/>
        </w:rPr>
        <w:t>目   录</w:t>
      </w:r>
    </w:p>
    <w:p w14:paraId="272D31BF">
      <w:pPr>
        <w:autoSpaceDE w:val="0"/>
        <w:autoSpaceDN w:val="0"/>
        <w:adjustRightInd w:val="0"/>
        <w:spacing w:line="360" w:lineRule="auto"/>
        <w:jc w:val="center"/>
        <w:rPr>
          <w:rFonts w:eastAsiaTheme="minorEastAsia"/>
          <w:b/>
          <w:sz w:val="22"/>
          <w:szCs w:val="22"/>
          <w:highlight w:val="none"/>
          <w:lang w:val="zh-CN"/>
        </w:rPr>
      </w:pPr>
    </w:p>
    <w:p w14:paraId="0BDA4328">
      <w:pPr>
        <w:pStyle w:val="13"/>
        <w:tabs>
          <w:tab w:val="right" w:leader="dot" w:pos="8640"/>
          <w:tab w:val="clear" w:pos="8630"/>
        </w:tabs>
        <w:rPr>
          <w:rFonts w:eastAsiaTheme="minorEastAsia"/>
          <w:sz w:val="20"/>
          <w:szCs w:val="22"/>
          <w:highlight w:val="none"/>
        </w:rPr>
      </w:pPr>
      <w:r>
        <w:rPr>
          <w:rFonts w:eastAsiaTheme="minorEastAsia"/>
          <w:sz w:val="22"/>
          <w:szCs w:val="22"/>
          <w:highlight w:val="none"/>
          <w:lang w:val="zh-CN"/>
        </w:rPr>
        <w:fldChar w:fldCharType="begin"/>
      </w:r>
      <w:r>
        <w:rPr>
          <w:rFonts w:eastAsiaTheme="minorEastAsia"/>
          <w:sz w:val="22"/>
          <w:szCs w:val="22"/>
          <w:highlight w:val="none"/>
          <w:lang w:val="zh-CN"/>
        </w:rPr>
        <w:instrText xml:space="preserve"> TOC \o "1-3" \h \z \u </w:instrText>
      </w:r>
      <w:r>
        <w:rPr>
          <w:rFonts w:eastAsiaTheme="minorEastAsia"/>
          <w:sz w:val="22"/>
          <w:szCs w:val="22"/>
          <w:highlight w:val="none"/>
          <w:lang w:val="zh-CN"/>
        </w:rPr>
        <w:fldChar w:fldCharType="separate"/>
      </w:r>
      <w:r>
        <w:rPr>
          <w:highlight w:val="none"/>
        </w:rPr>
        <w:fldChar w:fldCharType="begin"/>
      </w:r>
      <w:r>
        <w:rPr>
          <w:highlight w:val="none"/>
        </w:rPr>
        <w:instrText xml:space="preserve"> HYPERLINK \l "_Toc17845" </w:instrText>
      </w:r>
      <w:r>
        <w:rPr>
          <w:highlight w:val="none"/>
        </w:rPr>
        <w:fldChar w:fldCharType="separate"/>
      </w:r>
      <w:r>
        <w:rPr>
          <w:rFonts w:eastAsiaTheme="minorEastAsia"/>
          <w:sz w:val="20"/>
          <w:szCs w:val="22"/>
          <w:highlight w:val="none"/>
          <w:lang w:val="zh-CN"/>
        </w:rPr>
        <w:t>引 言</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_Toc17845 \h </w:instrText>
      </w:r>
      <w:r>
        <w:rPr>
          <w:rFonts w:eastAsiaTheme="minorEastAsia"/>
          <w:sz w:val="20"/>
          <w:szCs w:val="22"/>
          <w:highlight w:val="none"/>
        </w:rPr>
        <w:fldChar w:fldCharType="separate"/>
      </w:r>
      <w:r>
        <w:rPr>
          <w:rFonts w:eastAsiaTheme="minorEastAsia"/>
          <w:sz w:val="20"/>
          <w:szCs w:val="22"/>
          <w:highlight w:val="none"/>
        </w:rPr>
        <w:t>II</w:t>
      </w:r>
      <w:r>
        <w:rPr>
          <w:rFonts w:eastAsiaTheme="minorEastAsia"/>
          <w:sz w:val="20"/>
          <w:szCs w:val="22"/>
          <w:highlight w:val="none"/>
        </w:rPr>
        <w:fldChar w:fldCharType="end"/>
      </w:r>
      <w:r>
        <w:rPr>
          <w:rFonts w:eastAsiaTheme="minorEastAsia"/>
          <w:sz w:val="20"/>
          <w:szCs w:val="22"/>
          <w:highlight w:val="none"/>
        </w:rPr>
        <w:fldChar w:fldCharType="end"/>
      </w:r>
    </w:p>
    <w:p w14:paraId="4F4F160B">
      <w:pPr>
        <w:pStyle w:val="13"/>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"_Toc3557" </w:instrText>
      </w:r>
      <w:r>
        <w:rPr>
          <w:highlight w:val="none"/>
        </w:rPr>
        <w:fldChar w:fldCharType="separate"/>
      </w:r>
      <w:r>
        <w:rPr>
          <w:rFonts w:eastAsiaTheme="minorEastAsia"/>
          <w:sz w:val="20"/>
          <w:highlight w:val="none"/>
        </w:rPr>
        <w:t xml:space="preserve">1 </w:t>
      </w:r>
      <w:r>
        <w:rPr>
          <w:rFonts w:eastAsiaTheme="minorEastAsia"/>
          <w:sz w:val="20"/>
          <w:highlight w:val="none"/>
          <w:lang w:val="zh-CN"/>
        </w:rPr>
        <w:t>范围</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_Toc3557 \h </w:instrText>
      </w:r>
      <w:r>
        <w:rPr>
          <w:rFonts w:eastAsiaTheme="minorEastAsia"/>
          <w:sz w:val="20"/>
          <w:szCs w:val="22"/>
          <w:highlight w:val="none"/>
        </w:rPr>
        <w:fldChar w:fldCharType="separate"/>
      </w:r>
      <w:r>
        <w:rPr>
          <w:rFonts w:eastAsiaTheme="minorEastAsia"/>
          <w:sz w:val="20"/>
          <w:szCs w:val="22"/>
          <w:highlight w:val="none"/>
        </w:rPr>
        <w:t>3</w:t>
      </w:r>
      <w:r>
        <w:rPr>
          <w:rFonts w:eastAsiaTheme="minorEastAsia"/>
          <w:sz w:val="20"/>
          <w:szCs w:val="22"/>
          <w:highlight w:val="none"/>
        </w:rPr>
        <w:fldChar w:fldCharType="end"/>
      </w:r>
      <w:r>
        <w:rPr>
          <w:rFonts w:eastAsiaTheme="minorEastAsia"/>
          <w:sz w:val="20"/>
          <w:szCs w:val="22"/>
          <w:highlight w:val="none"/>
        </w:rPr>
        <w:fldChar w:fldCharType="end"/>
      </w:r>
    </w:p>
    <w:p w14:paraId="280D8CE6">
      <w:pPr>
        <w:pStyle w:val="13"/>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"_Toc18575" </w:instrText>
      </w:r>
      <w:r>
        <w:rPr>
          <w:highlight w:val="none"/>
        </w:rPr>
        <w:fldChar w:fldCharType="separate"/>
      </w:r>
      <w:r>
        <w:rPr>
          <w:rFonts w:eastAsiaTheme="minorEastAsia"/>
          <w:sz w:val="20"/>
          <w:highlight w:val="none"/>
        </w:rPr>
        <w:t>2 引用文件</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_Toc18575 \h </w:instrText>
      </w:r>
      <w:r>
        <w:rPr>
          <w:rFonts w:eastAsiaTheme="minorEastAsia"/>
          <w:sz w:val="20"/>
          <w:szCs w:val="22"/>
          <w:highlight w:val="none"/>
        </w:rPr>
        <w:fldChar w:fldCharType="separate"/>
      </w:r>
      <w:r>
        <w:rPr>
          <w:rFonts w:eastAsiaTheme="minorEastAsia"/>
          <w:sz w:val="20"/>
          <w:szCs w:val="22"/>
          <w:highlight w:val="none"/>
        </w:rPr>
        <w:t>3</w:t>
      </w:r>
      <w:r>
        <w:rPr>
          <w:rFonts w:eastAsiaTheme="minorEastAsia"/>
          <w:sz w:val="20"/>
          <w:szCs w:val="22"/>
          <w:highlight w:val="none"/>
        </w:rPr>
        <w:fldChar w:fldCharType="end"/>
      </w:r>
      <w:r>
        <w:rPr>
          <w:rFonts w:eastAsiaTheme="minorEastAsia"/>
          <w:sz w:val="20"/>
          <w:szCs w:val="22"/>
          <w:highlight w:val="none"/>
        </w:rPr>
        <w:fldChar w:fldCharType="end"/>
      </w:r>
    </w:p>
    <w:p w14:paraId="2AE3126C">
      <w:pPr>
        <w:pStyle w:val="13"/>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"_Toc2071" </w:instrText>
      </w:r>
      <w:r>
        <w:rPr>
          <w:highlight w:val="none"/>
        </w:rPr>
        <w:fldChar w:fldCharType="separate"/>
      </w:r>
      <w:r>
        <w:rPr>
          <w:rFonts w:eastAsiaTheme="minorEastAsia"/>
          <w:sz w:val="20"/>
          <w:highlight w:val="none"/>
        </w:rPr>
        <w:t>3 术语和定义</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_Toc2071 \h </w:instrText>
      </w:r>
      <w:r>
        <w:rPr>
          <w:rFonts w:eastAsiaTheme="minorEastAsia"/>
          <w:sz w:val="20"/>
          <w:szCs w:val="22"/>
          <w:highlight w:val="none"/>
        </w:rPr>
        <w:fldChar w:fldCharType="separate"/>
      </w:r>
      <w:r>
        <w:rPr>
          <w:rFonts w:eastAsiaTheme="minorEastAsia"/>
          <w:sz w:val="20"/>
          <w:szCs w:val="22"/>
          <w:highlight w:val="none"/>
        </w:rPr>
        <w:t>3</w:t>
      </w:r>
      <w:r>
        <w:rPr>
          <w:rFonts w:eastAsiaTheme="minorEastAsia"/>
          <w:sz w:val="20"/>
          <w:szCs w:val="22"/>
          <w:highlight w:val="none"/>
        </w:rPr>
        <w:fldChar w:fldCharType="end"/>
      </w:r>
      <w:r>
        <w:rPr>
          <w:rFonts w:eastAsiaTheme="minorEastAsia"/>
          <w:sz w:val="20"/>
          <w:szCs w:val="22"/>
          <w:highlight w:val="none"/>
        </w:rPr>
        <w:fldChar w:fldCharType="end"/>
      </w:r>
    </w:p>
    <w:p w14:paraId="64467BEB">
      <w:pPr>
        <w:pStyle w:val="13"/>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"_Toc16219" </w:instrText>
      </w:r>
      <w:r>
        <w:rPr>
          <w:highlight w:val="none"/>
        </w:rPr>
        <w:fldChar w:fldCharType="separate"/>
      </w:r>
      <w:r>
        <w:rPr>
          <w:rFonts w:eastAsiaTheme="minorEastAsia"/>
          <w:sz w:val="20"/>
          <w:highlight w:val="none"/>
        </w:rPr>
        <w:t>4 概述</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_Toc16219 \h </w:instrText>
      </w:r>
      <w:r>
        <w:rPr>
          <w:rFonts w:eastAsiaTheme="minorEastAsia"/>
          <w:sz w:val="20"/>
          <w:szCs w:val="22"/>
          <w:highlight w:val="none"/>
        </w:rPr>
        <w:fldChar w:fldCharType="separate"/>
      </w:r>
      <w:r>
        <w:rPr>
          <w:rFonts w:eastAsiaTheme="minorEastAsia"/>
          <w:sz w:val="20"/>
          <w:szCs w:val="22"/>
          <w:highlight w:val="none"/>
        </w:rPr>
        <w:t>3</w:t>
      </w:r>
      <w:r>
        <w:rPr>
          <w:rFonts w:eastAsiaTheme="minorEastAsia"/>
          <w:sz w:val="20"/>
          <w:szCs w:val="22"/>
          <w:highlight w:val="none"/>
        </w:rPr>
        <w:fldChar w:fldCharType="end"/>
      </w:r>
      <w:r>
        <w:rPr>
          <w:rFonts w:eastAsiaTheme="minorEastAsia"/>
          <w:sz w:val="20"/>
          <w:szCs w:val="22"/>
          <w:highlight w:val="none"/>
        </w:rPr>
        <w:fldChar w:fldCharType="end"/>
      </w:r>
    </w:p>
    <w:p w14:paraId="7F0CD988">
      <w:pPr>
        <w:pStyle w:val="13"/>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"_Toc10919" </w:instrText>
      </w:r>
      <w:r>
        <w:rPr>
          <w:highlight w:val="none"/>
        </w:rPr>
        <w:fldChar w:fldCharType="separate"/>
      </w:r>
      <w:r>
        <w:rPr>
          <w:rFonts w:eastAsiaTheme="minorEastAsia"/>
          <w:bCs/>
          <w:sz w:val="20"/>
          <w:highlight w:val="none"/>
        </w:rPr>
        <w:t>5 计量特性</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_Toc10919 \h </w:instrText>
      </w:r>
      <w:r>
        <w:rPr>
          <w:rFonts w:eastAsiaTheme="minorEastAsia"/>
          <w:sz w:val="20"/>
          <w:szCs w:val="22"/>
          <w:highlight w:val="none"/>
        </w:rPr>
        <w:fldChar w:fldCharType="separate"/>
      </w:r>
      <w:r>
        <w:rPr>
          <w:rFonts w:eastAsiaTheme="minorEastAsia"/>
          <w:sz w:val="20"/>
          <w:szCs w:val="22"/>
          <w:highlight w:val="none"/>
        </w:rPr>
        <w:t>5</w:t>
      </w:r>
      <w:r>
        <w:rPr>
          <w:rFonts w:eastAsiaTheme="minorEastAsia"/>
          <w:sz w:val="20"/>
          <w:szCs w:val="22"/>
          <w:highlight w:val="none"/>
        </w:rPr>
        <w:fldChar w:fldCharType="end"/>
      </w:r>
      <w:r>
        <w:rPr>
          <w:rFonts w:eastAsiaTheme="minorEastAsia"/>
          <w:sz w:val="20"/>
          <w:szCs w:val="22"/>
          <w:highlight w:val="none"/>
        </w:rPr>
        <w:fldChar w:fldCharType="end"/>
      </w:r>
    </w:p>
    <w:p w14:paraId="2B023D94">
      <w:pPr>
        <w:pStyle w:val="13"/>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"_Toc7529" </w:instrText>
      </w:r>
      <w:r>
        <w:rPr>
          <w:highlight w:val="none"/>
        </w:rPr>
        <w:fldChar w:fldCharType="separate"/>
      </w:r>
      <w:r>
        <w:rPr>
          <w:rFonts w:eastAsiaTheme="minorEastAsia"/>
          <w:sz w:val="20"/>
          <w:highlight w:val="none"/>
        </w:rPr>
        <w:t>6 测量条件</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_Toc7529 \h </w:instrText>
      </w:r>
      <w:r>
        <w:rPr>
          <w:rFonts w:eastAsiaTheme="minorEastAsia"/>
          <w:sz w:val="20"/>
          <w:szCs w:val="22"/>
          <w:highlight w:val="none"/>
        </w:rPr>
        <w:fldChar w:fldCharType="separate"/>
      </w:r>
      <w:r>
        <w:rPr>
          <w:rFonts w:eastAsiaTheme="minorEastAsia"/>
          <w:sz w:val="20"/>
          <w:szCs w:val="22"/>
          <w:highlight w:val="none"/>
        </w:rPr>
        <w:t>6</w:t>
      </w:r>
      <w:r>
        <w:rPr>
          <w:rFonts w:eastAsiaTheme="minorEastAsia"/>
          <w:sz w:val="20"/>
          <w:szCs w:val="22"/>
          <w:highlight w:val="none"/>
        </w:rPr>
        <w:fldChar w:fldCharType="end"/>
      </w:r>
      <w:r>
        <w:rPr>
          <w:rFonts w:eastAsiaTheme="minorEastAsia"/>
          <w:sz w:val="20"/>
          <w:szCs w:val="22"/>
          <w:highlight w:val="none"/>
        </w:rPr>
        <w:fldChar w:fldCharType="end"/>
      </w:r>
    </w:p>
    <w:p w14:paraId="10012452">
      <w:pPr>
        <w:pStyle w:val="15"/>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"_Toc12134" </w:instrText>
      </w:r>
      <w:r>
        <w:rPr>
          <w:highlight w:val="none"/>
        </w:rPr>
        <w:fldChar w:fldCharType="separate"/>
      </w:r>
      <w:r>
        <w:rPr>
          <w:rFonts w:eastAsiaTheme="minorEastAsia"/>
          <w:sz w:val="20"/>
          <w:szCs w:val="22"/>
          <w:highlight w:val="none"/>
        </w:rPr>
        <w:t>6.1 环境条件</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_Toc12134 \h </w:instrText>
      </w:r>
      <w:r>
        <w:rPr>
          <w:rFonts w:eastAsiaTheme="minorEastAsia"/>
          <w:sz w:val="20"/>
          <w:szCs w:val="22"/>
          <w:highlight w:val="none"/>
        </w:rPr>
        <w:fldChar w:fldCharType="separate"/>
      </w:r>
      <w:r>
        <w:rPr>
          <w:rFonts w:eastAsiaTheme="minorEastAsia"/>
          <w:sz w:val="20"/>
          <w:szCs w:val="22"/>
          <w:highlight w:val="none"/>
        </w:rPr>
        <w:t>6</w:t>
      </w:r>
      <w:r>
        <w:rPr>
          <w:rFonts w:eastAsiaTheme="minorEastAsia"/>
          <w:sz w:val="20"/>
          <w:szCs w:val="22"/>
          <w:highlight w:val="none"/>
        </w:rPr>
        <w:fldChar w:fldCharType="end"/>
      </w:r>
      <w:r>
        <w:rPr>
          <w:rFonts w:eastAsiaTheme="minorEastAsia"/>
          <w:sz w:val="20"/>
          <w:szCs w:val="22"/>
          <w:highlight w:val="none"/>
        </w:rPr>
        <w:fldChar w:fldCharType="end"/>
      </w:r>
    </w:p>
    <w:p w14:paraId="16DB1131">
      <w:pPr>
        <w:pStyle w:val="15"/>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"_Toc25110" </w:instrText>
      </w:r>
      <w:r>
        <w:rPr>
          <w:highlight w:val="none"/>
        </w:rPr>
        <w:fldChar w:fldCharType="separate"/>
      </w:r>
      <w:r>
        <w:rPr>
          <w:rFonts w:eastAsiaTheme="minorEastAsia"/>
          <w:bCs/>
          <w:sz w:val="20"/>
          <w:szCs w:val="22"/>
          <w:highlight w:val="none"/>
        </w:rPr>
        <w:t xml:space="preserve">6.2 </w:t>
      </w:r>
      <w:r>
        <w:rPr>
          <w:rFonts w:eastAsiaTheme="minorEastAsia"/>
          <w:sz w:val="20"/>
          <w:szCs w:val="22"/>
          <w:highlight w:val="none"/>
        </w:rPr>
        <w:t>测试准光腔要求</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_Toc25110 \h </w:instrText>
      </w:r>
      <w:r>
        <w:rPr>
          <w:rFonts w:eastAsiaTheme="minorEastAsia"/>
          <w:sz w:val="20"/>
          <w:szCs w:val="22"/>
          <w:highlight w:val="none"/>
        </w:rPr>
        <w:fldChar w:fldCharType="separate"/>
      </w:r>
      <w:r>
        <w:rPr>
          <w:rFonts w:eastAsiaTheme="minorEastAsia"/>
          <w:sz w:val="20"/>
          <w:szCs w:val="22"/>
          <w:highlight w:val="none"/>
        </w:rPr>
        <w:t>6</w:t>
      </w:r>
      <w:r>
        <w:rPr>
          <w:rFonts w:eastAsiaTheme="minorEastAsia"/>
          <w:sz w:val="20"/>
          <w:szCs w:val="22"/>
          <w:highlight w:val="none"/>
        </w:rPr>
        <w:fldChar w:fldCharType="end"/>
      </w:r>
      <w:r>
        <w:rPr>
          <w:rFonts w:eastAsiaTheme="minorEastAsia"/>
          <w:sz w:val="20"/>
          <w:szCs w:val="22"/>
          <w:highlight w:val="none"/>
        </w:rPr>
        <w:fldChar w:fldCharType="end"/>
      </w:r>
    </w:p>
    <w:p w14:paraId="6D2F4F80">
      <w:pPr>
        <w:pStyle w:val="15"/>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"_Toc22977" </w:instrText>
      </w:r>
      <w:r>
        <w:rPr>
          <w:highlight w:val="none"/>
        </w:rPr>
        <w:fldChar w:fldCharType="separate"/>
      </w:r>
      <w:r>
        <w:rPr>
          <w:rFonts w:eastAsiaTheme="minorEastAsia"/>
          <w:bCs/>
          <w:sz w:val="20"/>
          <w:szCs w:val="22"/>
          <w:highlight w:val="none"/>
        </w:rPr>
        <w:t>6.3 测量标准及其他设备</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_Toc22977 \h </w:instrText>
      </w:r>
      <w:r>
        <w:rPr>
          <w:rFonts w:eastAsiaTheme="minorEastAsia"/>
          <w:sz w:val="20"/>
          <w:szCs w:val="22"/>
          <w:highlight w:val="none"/>
        </w:rPr>
        <w:fldChar w:fldCharType="separate"/>
      </w:r>
      <w:r>
        <w:rPr>
          <w:rFonts w:eastAsiaTheme="minorEastAsia"/>
          <w:sz w:val="20"/>
          <w:szCs w:val="22"/>
          <w:highlight w:val="none"/>
        </w:rPr>
        <w:t>6</w:t>
      </w:r>
      <w:r>
        <w:rPr>
          <w:rFonts w:eastAsiaTheme="minorEastAsia"/>
          <w:sz w:val="20"/>
          <w:szCs w:val="22"/>
          <w:highlight w:val="none"/>
        </w:rPr>
        <w:fldChar w:fldCharType="end"/>
      </w:r>
      <w:r>
        <w:rPr>
          <w:rFonts w:eastAsiaTheme="minorEastAsia"/>
          <w:sz w:val="20"/>
          <w:szCs w:val="22"/>
          <w:highlight w:val="none"/>
        </w:rPr>
        <w:fldChar w:fldCharType="end"/>
      </w:r>
    </w:p>
    <w:p w14:paraId="4B09E560">
      <w:pPr>
        <w:pStyle w:val="13"/>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"_Toc9852" </w:instrText>
      </w:r>
      <w:r>
        <w:rPr>
          <w:highlight w:val="none"/>
        </w:rPr>
        <w:fldChar w:fldCharType="separate"/>
      </w:r>
      <w:r>
        <w:rPr>
          <w:rFonts w:eastAsiaTheme="minorEastAsia"/>
          <w:sz w:val="20"/>
          <w:highlight w:val="none"/>
        </w:rPr>
        <w:t>7 测量方法</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_Toc9852 \h </w:instrText>
      </w:r>
      <w:r>
        <w:rPr>
          <w:rFonts w:eastAsiaTheme="minorEastAsia"/>
          <w:sz w:val="20"/>
          <w:szCs w:val="22"/>
          <w:highlight w:val="none"/>
        </w:rPr>
        <w:fldChar w:fldCharType="separate"/>
      </w:r>
      <w:r>
        <w:rPr>
          <w:rFonts w:eastAsiaTheme="minorEastAsia"/>
          <w:sz w:val="20"/>
          <w:szCs w:val="22"/>
          <w:highlight w:val="none"/>
        </w:rPr>
        <w:t>7</w:t>
      </w:r>
      <w:r>
        <w:rPr>
          <w:rFonts w:eastAsiaTheme="minorEastAsia"/>
          <w:sz w:val="20"/>
          <w:szCs w:val="22"/>
          <w:highlight w:val="none"/>
        </w:rPr>
        <w:fldChar w:fldCharType="end"/>
      </w:r>
      <w:r>
        <w:rPr>
          <w:rFonts w:eastAsiaTheme="minorEastAsia"/>
          <w:sz w:val="20"/>
          <w:szCs w:val="22"/>
          <w:highlight w:val="none"/>
        </w:rPr>
        <w:fldChar w:fldCharType="end"/>
      </w:r>
    </w:p>
    <w:p w14:paraId="55B161B9">
      <w:pPr>
        <w:pStyle w:val="15"/>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"_Toc15429" </w:instrText>
      </w:r>
      <w:r>
        <w:rPr>
          <w:highlight w:val="none"/>
        </w:rPr>
        <w:fldChar w:fldCharType="separate"/>
      </w:r>
      <w:r>
        <w:rPr>
          <w:rFonts w:eastAsiaTheme="minorEastAsia"/>
          <w:sz w:val="20"/>
          <w:szCs w:val="22"/>
          <w:highlight w:val="none"/>
        </w:rPr>
        <w:t>7.1 设备校准</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_Toc15429 \h </w:instrText>
      </w:r>
      <w:r>
        <w:rPr>
          <w:rFonts w:eastAsiaTheme="minorEastAsia"/>
          <w:sz w:val="20"/>
          <w:szCs w:val="22"/>
          <w:highlight w:val="none"/>
        </w:rPr>
        <w:fldChar w:fldCharType="separate"/>
      </w:r>
      <w:r>
        <w:rPr>
          <w:rFonts w:eastAsiaTheme="minorEastAsia"/>
          <w:sz w:val="20"/>
          <w:szCs w:val="22"/>
          <w:highlight w:val="none"/>
        </w:rPr>
        <w:t>7</w:t>
      </w:r>
      <w:r>
        <w:rPr>
          <w:rFonts w:eastAsiaTheme="minorEastAsia"/>
          <w:sz w:val="20"/>
          <w:szCs w:val="22"/>
          <w:highlight w:val="none"/>
        </w:rPr>
        <w:fldChar w:fldCharType="end"/>
      </w:r>
      <w:r>
        <w:rPr>
          <w:rFonts w:eastAsiaTheme="minorEastAsia"/>
          <w:sz w:val="20"/>
          <w:szCs w:val="22"/>
          <w:highlight w:val="none"/>
        </w:rPr>
        <w:fldChar w:fldCharType="end"/>
      </w:r>
    </w:p>
    <w:p w14:paraId="10FEEBD9">
      <w:pPr>
        <w:pStyle w:val="15"/>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"_Toc359" </w:instrText>
      </w:r>
      <w:r>
        <w:rPr>
          <w:highlight w:val="none"/>
        </w:rPr>
        <w:fldChar w:fldCharType="separate"/>
      </w:r>
      <w:r>
        <w:rPr>
          <w:rFonts w:eastAsiaTheme="minorEastAsia"/>
          <w:sz w:val="20"/>
          <w:szCs w:val="22"/>
          <w:highlight w:val="none"/>
        </w:rPr>
        <w:t>7.2 样品放置</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_Toc359 \h </w:instrText>
      </w:r>
      <w:r>
        <w:rPr>
          <w:rFonts w:eastAsiaTheme="minorEastAsia"/>
          <w:sz w:val="20"/>
          <w:szCs w:val="22"/>
          <w:highlight w:val="none"/>
        </w:rPr>
        <w:fldChar w:fldCharType="separate"/>
      </w:r>
      <w:r>
        <w:rPr>
          <w:rFonts w:eastAsiaTheme="minorEastAsia"/>
          <w:sz w:val="20"/>
          <w:szCs w:val="22"/>
          <w:highlight w:val="none"/>
        </w:rPr>
        <w:t>7</w:t>
      </w:r>
      <w:r>
        <w:rPr>
          <w:rFonts w:eastAsiaTheme="minorEastAsia"/>
          <w:sz w:val="20"/>
          <w:szCs w:val="22"/>
          <w:highlight w:val="none"/>
        </w:rPr>
        <w:fldChar w:fldCharType="end"/>
      </w:r>
      <w:r>
        <w:rPr>
          <w:rFonts w:eastAsiaTheme="minorEastAsia"/>
          <w:sz w:val="20"/>
          <w:szCs w:val="22"/>
          <w:highlight w:val="none"/>
        </w:rPr>
        <w:fldChar w:fldCharType="end"/>
      </w:r>
    </w:p>
    <w:p w14:paraId="1EAA9E0E">
      <w:pPr>
        <w:pStyle w:val="15"/>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"_Toc28476" </w:instrText>
      </w:r>
      <w:r>
        <w:rPr>
          <w:highlight w:val="none"/>
        </w:rPr>
        <w:fldChar w:fldCharType="separate"/>
      </w:r>
      <w:r>
        <w:rPr>
          <w:rFonts w:eastAsiaTheme="minorEastAsia"/>
          <w:sz w:val="20"/>
          <w:szCs w:val="22"/>
          <w:highlight w:val="none"/>
        </w:rPr>
        <w:t>7.3 参数测试过程</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_Toc28476 \h </w:instrText>
      </w:r>
      <w:r>
        <w:rPr>
          <w:rFonts w:eastAsiaTheme="minorEastAsia"/>
          <w:sz w:val="20"/>
          <w:szCs w:val="22"/>
          <w:highlight w:val="none"/>
        </w:rPr>
        <w:fldChar w:fldCharType="separate"/>
      </w:r>
      <w:r>
        <w:rPr>
          <w:rFonts w:eastAsiaTheme="minorEastAsia"/>
          <w:sz w:val="20"/>
          <w:szCs w:val="22"/>
          <w:highlight w:val="none"/>
        </w:rPr>
        <w:t>8</w:t>
      </w:r>
      <w:r>
        <w:rPr>
          <w:rFonts w:eastAsiaTheme="minorEastAsia"/>
          <w:sz w:val="20"/>
          <w:szCs w:val="22"/>
          <w:highlight w:val="none"/>
        </w:rPr>
        <w:fldChar w:fldCharType="end"/>
      </w:r>
      <w:r>
        <w:rPr>
          <w:rFonts w:eastAsiaTheme="minorEastAsia"/>
          <w:sz w:val="20"/>
          <w:szCs w:val="22"/>
          <w:highlight w:val="none"/>
        </w:rPr>
        <w:fldChar w:fldCharType="end"/>
      </w:r>
    </w:p>
    <w:p w14:paraId="127E37BC">
      <w:pPr>
        <w:pStyle w:val="15"/>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"_Toc15359" </w:instrText>
      </w:r>
      <w:r>
        <w:rPr>
          <w:highlight w:val="none"/>
        </w:rPr>
        <w:fldChar w:fldCharType="separate"/>
      </w:r>
      <w:r>
        <w:rPr>
          <w:rFonts w:eastAsiaTheme="minorEastAsia"/>
          <w:sz w:val="20"/>
          <w:szCs w:val="22"/>
          <w:highlight w:val="none"/>
        </w:rPr>
        <w:t>7.3.1 长度</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_Toc15359 \h </w:instrText>
      </w:r>
      <w:r>
        <w:rPr>
          <w:rFonts w:eastAsiaTheme="minorEastAsia"/>
          <w:sz w:val="20"/>
          <w:szCs w:val="22"/>
          <w:highlight w:val="none"/>
        </w:rPr>
        <w:fldChar w:fldCharType="separate"/>
      </w:r>
      <w:r>
        <w:rPr>
          <w:rFonts w:eastAsiaTheme="minorEastAsia"/>
          <w:sz w:val="20"/>
          <w:szCs w:val="22"/>
          <w:highlight w:val="none"/>
        </w:rPr>
        <w:t>8</w:t>
      </w:r>
      <w:r>
        <w:rPr>
          <w:rFonts w:eastAsiaTheme="minorEastAsia"/>
          <w:sz w:val="20"/>
          <w:szCs w:val="22"/>
          <w:highlight w:val="none"/>
        </w:rPr>
        <w:fldChar w:fldCharType="end"/>
      </w:r>
      <w:r>
        <w:rPr>
          <w:rFonts w:eastAsiaTheme="minorEastAsia"/>
          <w:sz w:val="20"/>
          <w:szCs w:val="22"/>
          <w:highlight w:val="none"/>
        </w:rPr>
        <w:fldChar w:fldCharType="end"/>
      </w:r>
    </w:p>
    <w:p w14:paraId="0F2CE710">
      <w:pPr>
        <w:pStyle w:val="15"/>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"_Toc26917" </w:instrText>
      </w:r>
      <w:r>
        <w:rPr>
          <w:highlight w:val="none"/>
        </w:rPr>
        <w:fldChar w:fldCharType="separate"/>
      </w:r>
      <w:r>
        <w:rPr>
          <w:rFonts w:eastAsiaTheme="minorEastAsia"/>
          <w:sz w:val="20"/>
          <w:szCs w:val="22"/>
          <w:highlight w:val="none"/>
        </w:rPr>
        <w:t>7.3.2 共聚焦准光腔介电常数范围</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_Toc26917 \h </w:instrText>
      </w:r>
      <w:r>
        <w:rPr>
          <w:rFonts w:eastAsiaTheme="minorEastAsia"/>
          <w:sz w:val="20"/>
          <w:szCs w:val="22"/>
          <w:highlight w:val="none"/>
        </w:rPr>
        <w:fldChar w:fldCharType="separate"/>
      </w:r>
      <w:r>
        <w:rPr>
          <w:rFonts w:eastAsiaTheme="minorEastAsia"/>
          <w:sz w:val="20"/>
          <w:szCs w:val="22"/>
          <w:highlight w:val="none"/>
        </w:rPr>
        <w:t>8</w:t>
      </w:r>
      <w:r>
        <w:rPr>
          <w:rFonts w:eastAsiaTheme="minorEastAsia"/>
          <w:sz w:val="20"/>
          <w:szCs w:val="22"/>
          <w:highlight w:val="none"/>
        </w:rPr>
        <w:fldChar w:fldCharType="end"/>
      </w:r>
      <w:r>
        <w:rPr>
          <w:rFonts w:eastAsiaTheme="minorEastAsia"/>
          <w:sz w:val="20"/>
          <w:szCs w:val="22"/>
          <w:highlight w:val="none"/>
        </w:rPr>
        <w:fldChar w:fldCharType="end"/>
      </w:r>
    </w:p>
    <w:p w14:paraId="48A91A64">
      <w:pPr>
        <w:pStyle w:val="15"/>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"_Toc25809" </w:instrText>
      </w:r>
      <w:r>
        <w:rPr>
          <w:highlight w:val="none"/>
        </w:rPr>
        <w:fldChar w:fldCharType="separate"/>
      </w:r>
      <w:r>
        <w:rPr>
          <w:rFonts w:eastAsiaTheme="minorEastAsia"/>
          <w:sz w:val="20"/>
          <w:szCs w:val="22"/>
          <w:highlight w:val="none"/>
        </w:rPr>
        <w:t>7.3.3 共聚焦准光腔正切角损耗范围</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_Toc25809 \h </w:instrText>
      </w:r>
      <w:r>
        <w:rPr>
          <w:rFonts w:eastAsiaTheme="minorEastAsia"/>
          <w:sz w:val="20"/>
          <w:szCs w:val="22"/>
          <w:highlight w:val="none"/>
        </w:rPr>
        <w:fldChar w:fldCharType="separate"/>
      </w:r>
      <w:r>
        <w:rPr>
          <w:rFonts w:eastAsiaTheme="minorEastAsia"/>
          <w:sz w:val="20"/>
          <w:szCs w:val="22"/>
          <w:highlight w:val="none"/>
        </w:rPr>
        <w:t>8</w:t>
      </w:r>
      <w:r>
        <w:rPr>
          <w:rFonts w:eastAsiaTheme="minorEastAsia"/>
          <w:sz w:val="20"/>
          <w:szCs w:val="22"/>
          <w:highlight w:val="none"/>
        </w:rPr>
        <w:fldChar w:fldCharType="end"/>
      </w:r>
      <w:r>
        <w:rPr>
          <w:rFonts w:eastAsiaTheme="minorEastAsia"/>
          <w:sz w:val="20"/>
          <w:szCs w:val="22"/>
          <w:highlight w:val="none"/>
        </w:rPr>
        <w:fldChar w:fldCharType="end"/>
      </w:r>
    </w:p>
    <w:p w14:paraId="1A665668">
      <w:pPr>
        <w:pStyle w:val="13"/>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"_Toc28706" </w:instrText>
      </w:r>
      <w:r>
        <w:rPr>
          <w:highlight w:val="none"/>
        </w:rPr>
        <w:fldChar w:fldCharType="separate"/>
      </w:r>
      <w:r>
        <w:rPr>
          <w:rFonts w:eastAsiaTheme="minorEastAsia"/>
          <w:sz w:val="20"/>
          <w:highlight w:val="none"/>
        </w:rPr>
        <w:t>8 测量结果表达</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_Toc28706 \h </w:instrText>
      </w:r>
      <w:r>
        <w:rPr>
          <w:rFonts w:eastAsiaTheme="minorEastAsia"/>
          <w:sz w:val="20"/>
          <w:szCs w:val="22"/>
          <w:highlight w:val="none"/>
        </w:rPr>
        <w:fldChar w:fldCharType="separate"/>
      </w:r>
      <w:r>
        <w:rPr>
          <w:rFonts w:eastAsiaTheme="minorEastAsia"/>
          <w:sz w:val="20"/>
          <w:szCs w:val="22"/>
          <w:highlight w:val="none"/>
        </w:rPr>
        <w:t>8</w:t>
      </w:r>
      <w:r>
        <w:rPr>
          <w:rFonts w:eastAsiaTheme="minorEastAsia"/>
          <w:sz w:val="20"/>
          <w:szCs w:val="22"/>
          <w:highlight w:val="none"/>
        </w:rPr>
        <w:fldChar w:fldCharType="end"/>
      </w:r>
      <w:r>
        <w:rPr>
          <w:rFonts w:eastAsiaTheme="minorEastAsia"/>
          <w:sz w:val="20"/>
          <w:szCs w:val="22"/>
          <w:highlight w:val="none"/>
        </w:rPr>
        <w:fldChar w:fldCharType="end"/>
      </w:r>
    </w:p>
    <w:p w14:paraId="630D92B8">
      <w:pPr>
        <w:pStyle w:val="13"/>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"_Toc31775" </w:instrText>
      </w:r>
      <w:r>
        <w:rPr>
          <w:highlight w:val="none"/>
        </w:rPr>
        <w:fldChar w:fldCharType="separate"/>
      </w:r>
      <w:r>
        <w:rPr>
          <w:rFonts w:eastAsiaTheme="minorEastAsia"/>
          <w:sz w:val="20"/>
          <w:highlight w:val="none"/>
        </w:rPr>
        <w:t>附录A</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_Toc31775 \h </w:instrText>
      </w:r>
      <w:r>
        <w:rPr>
          <w:rFonts w:eastAsiaTheme="minorEastAsia"/>
          <w:sz w:val="20"/>
          <w:szCs w:val="22"/>
          <w:highlight w:val="none"/>
        </w:rPr>
        <w:fldChar w:fldCharType="separate"/>
      </w:r>
      <w:r>
        <w:rPr>
          <w:rFonts w:eastAsiaTheme="minorEastAsia"/>
          <w:sz w:val="20"/>
          <w:szCs w:val="22"/>
          <w:highlight w:val="none"/>
        </w:rPr>
        <w:t>10</w:t>
      </w:r>
      <w:r>
        <w:rPr>
          <w:rFonts w:eastAsiaTheme="minorEastAsia"/>
          <w:sz w:val="20"/>
          <w:szCs w:val="22"/>
          <w:highlight w:val="none"/>
        </w:rPr>
        <w:fldChar w:fldCharType="end"/>
      </w:r>
      <w:r>
        <w:rPr>
          <w:rFonts w:eastAsiaTheme="minorEastAsia"/>
          <w:sz w:val="20"/>
          <w:szCs w:val="22"/>
          <w:highlight w:val="none"/>
        </w:rPr>
        <w:fldChar w:fldCharType="end"/>
      </w:r>
    </w:p>
    <w:p w14:paraId="1AC28CDD">
      <w:pPr>
        <w:pStyle w:val="13"/>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"_Toc5001" </w:instrText>
      </w:r>
      <w:r>
        <w:rPr>
          <w:highlight w:val="none"/>
        </w:rPr>
        <w:fldChar w:fldCharType="separate"/>
      </w:r>
      <w:r>
        <w:rPr>
          <w:rFonts w:eastAsiaTheme="minorEastAsia"/>
          <w:sz w:val="20"/>
          <w:highlight w:val="none"/>
        </w:rPr>
        <w:t>附录B</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_Toc5001 \h </w:instrText>
      </w:r>
      <w:r>
        <w:rPr>
          <w:rFonts w:eastAsiaTheme="minorEastAsia"/>
          <w:sz w:val="20"/>
          <w:szCs w:val="22"/>
          <w:highlight w:val="none"/>
        </w:rPr>
        <w:fldChar w:fldCharType="separate"/>
      </w:r>
      <w:r>
        <w:rPr>
          <w:rFonts w:eastAsiaTheme="minorEastAsia"/>
          <w:sz w:val="20"/>
          <w:szCs w:val="22"/>
          <w:highlight w:val="none"/>
        </w:rPr>
        <w:t>11</w:t>
      </w:r>
      <w:r>
        <w:rPr>
          <w:rFonts w:eastAsiaTheme="minorEastAsia"/>
          <w:sz w:val="20"/>
          <w:szCs w:val="22"/>
          <w:highlight w:val="none"/>
        </w:rPr>
        <w:fldChar w:fldCharType="end"/>
      </w:r>
      <w:r>
        <w:rPr>
          <w:rFonts w:eastAsiaTheme="minorEastAsia"/>
          <w:sz w:val="20"/>
          <w:szCs w:val="22"/>
          <w:highlight w:val="none"/>
        </w:rPr>
        <w:fldChar w:fldCharType="end"/>
      </w:r>
    </w:p>
    <w:p w14:paraId="34A2C2F7">
      <w:pPr>
        <w:pStyle w:val="13"/>
        <w:tabs>
          <w:tab w:val="right" w:leader="dot" w:pos="8640"/>
          <w:tab w:val="clear" w:pos="8630"/>
        </w:tabs>
        <w:rPr>
          <w:rFonts w:eastAsiaTheme="minorEastAsia"/>
          <w:sz w:val="20"/>
          <w:szCs w:val="22"/>
          <w:highlight w:val="none"/>
        </w:rPr>
      </w:pPr>
      <w:r>
        <w:rPr>
          <w:highlight w:val="none"/>
        </w:rPr>
        <w:fldChar w:fldCharType="begin"/>
      </w:r>
      <w:r>
        <w:rPr>
          <w:highlight w:val="none"/>
        </w:rPr>
        <w:instrText xml:space="preserve"> HYPERLINK \l "_Toc2968" </w:instrText>
      </w:r>
      <w:r>
        <w:rPr>
          <w:highlight w:val="none"/>
        </w:rPr>
        <w:fldChar w:fldCharType="separate"/>
      </w:r>
      <w:r>
        <w:rPr>
          <w:rFonts w:eastAsiaTheme="minorEastAsia"/>
          <w:sz w:val="20"/>
          <w:highlight w:val="none"/>
        </w:rPr>
        <w:t>附录C</w:t>
      </w:r>
      <w:r>
        <w:rPr>
          <w:rFonts w:eastAsiaTheme="minorEastAsia"/>
          <w:sz w:val="20"/>
          <w:szCs w:val="22"/>
          <w:highlight w:val="none"/>
        </w:rPr>
        <w:tab/>
      </w:r>
      <w:r>
        <w:rPr>
          <w:rFonts w:eastAsiaTheme="minorEastAsia"/>
          <w:sz w:val="20"/>
          <w:szCs w:val="22"/>
          <w:highlight w:val="none"/>
        </w:rPr>
        <w:fldChar w:fldCharType="begin"/>
      </w:r>
      <w:r>
        <w:rPr>
          <w:rFonts w:eastAsiaTheme="minorEastAsia"/>
          <w:sz w:val="20"/>
          <w:szCs w:val="22"/>
          <w:highlight w:val="none"/>
        </w:rPr>
        <w:instrText xml:space="preserve"> PAGEREF _Toc2968 \h </w:instrText>
      </w:r>
      <w:r>
        <w:rPr>
          <w:rFonts w:eastAsiaTheme="minorEastAsia"/>
          <w:sz w:val="20"/>
          <w:szCs w:val="22"/>
          <w:highlight w:val="none"/>
        </w:rPr>
        <w:fldChar w:fldCharType="separate"/>
      </w:r>
      <w:r>
        <w:rPr>
          <w:rFonts w:eastAsiaTheme="minorEastAsia"/>
          <w:sz w:val="20"/>
          <w:szCs w:val="22"/>
          <w:highlight w:val="none"/>
        </w:rPr>
        <w:t>12</w:t>
      </w:r>
      <w:r>
        <w:rPr>
          <w:rFonts w:eastAsiaTheme="minorEastAsia"/>
          <w:sz w:val="20"/>
          <w:szCs w:val="22"/>
          <w:highlight w:val="none"/>
        </w:rPr>
        <w:fldChar w:fldCharType="end"/>
      </w:r>
      <w:r>
        <w:rPr>
          <w:rFonts w:eastAsiaTheme="minorEastAsia"/>
          <w:sz w:val="20"/>
          <w:szCs w:val="22"/>
          <w:highlight w:val="none"/>
        </w:rPr>
        <w:fldChar w:fldCharType="end"/>
      </w:r>
    </w:p>
    <w:p w14:paraId="2FE537F6">
      <w:pPr>
        <w:autoSpaceDE w:val="0"/>
        <w:autoSpaceDN w:val="0"/>
        <w:adjustRightInd w:val="0"/>
        <w:spacing w:line="360" w:lineRule="auto"/>
        <w:jc w:val="left"/>
        <w:rPr>
          <w:rFonts w:eastAsiaTheme="minorEastAsia"/>
          <w:sz w:val="24"/>
          <w:highlight w:val="none"/>
          <w:lang w:val="zh-CN"/>
        </w:rPr>
        <w:sectPr>
          <w:footerReference r:id="rId11" w:type="first"/>
          <w:footerReference r:id="rId10" w:type="default"/>
          <w:pgSz w:w="12240" w:h="15840"/>
          <w:pgMar w:top="1440" w:right="1800" w:bottom="1440" w:left="1800" w:header="720" w:footer="720" w:gutter="0"/>
          <w:pgNumType w:fmt="upperRoman" w:start="1"/>
          <w:cols w:space="720" w:num="1"/>
          <w:titlePg/>
        </w:sectPr>
      </w:pPr>
      <w:r>
        <w:rPr>
          <w:rFonts w:eastAsiaTheme="minorEastAsia"/>
          <w:sz w:val="20"/>
          <w:szCs w:val="22"/>
          <w:highlight w:val="none"/>
          <w:lang w:val="zh-CN"/>
        </w:rPr>
        <w:fldChar w:fldCharType="end"/>
      </w:r>
    </w:p>
    <w:p w14:paraId="1F2C010A">
      <w:pPr>
        <w:pStyle w:val="2"/>
        <w:spacing w:before="0" w:after="0" w:line="480" w:lineRule="auto"/>
        <w:jc w:val="center"/>
        <w:rPr>
          <w:rFonts w:eastAsiaTheme="minorEastAsia"/>
          <w:b w:val="0"/>
          <w:sz w:val="40"/>
          <w:szCs w:val="40"/>
          <w:highlight w:val="none"/>
          <w:lang w:val="zh-CN"/>
        </w:rPr>
      </w:pPr>
      <w:bookmarkStart w:id="5" w:name="_Toc16563"/>
      <w:bookmarkStart w:id="6" w:name="_Toc17845"/>
      <w:bookmarkStart w:id="7" w:name="_Toc4914"/>
      <w:bookmarkStart w:id="8" w:name="_Toc2570"/>
      <w:r>
        <w:rPr>
          <w:rFonts w:eastAsiaTheme="minorEastAsia"/>
          <w:b w:val="0"/>
          <w:sz w:val="40"/>
          <w:szCs w:val="40"/>
          <w:highlight w:val="none"/>
          <w:lang w:val="zh-CN"/>
        </w:rPr>
        <w:t>引 言</w:t>
      </w:r>
      <w:bookmarkEnd w:id="5"/>
      <w:bookmarkEnd w:id="6"/>
      <w:bookmarkEnd w:id="7"/>
      <w:bookmarkEnd w:id="8"/>
    </w:p>
    <w:p w14:paraId="7630A1CA">
      <w:pPr>
        <w:tabs>
          <w:tab w:val="left" w:pos="540"/>
        </w:tabs>
        <w:autoSpaceDE w:val="0"/>
        <w:autoSpaceDN w:val="0"/>
        <w:adjustRightInd w:val="0"/>
        <w:spacing w:line="360" w:lineRule="auto"/>
        <w:ind w:firstLine="440" w:firstLineChars="200"/>
        <w:rPr>
          <w:rFonts w:eastAsiaTheme="minorEastAsia"/>
          <w:sz w:val="22"/>
          <w:szCs w:val="22"/>
          <w:highlight w:val="none"/>
          <w:lang w:val="zh-CN"/>
        </w:rPr>
      </w:pPr>
      <w:r>
        <w:rPr>
          <w:rFonts w:eastAsiaTheme="minorEastAsia"/>
          <w:sz w:val="22"/>
          <w:szCs w:val="22"/>
          <w:highlight w:val="none"/>
          <w:lang w:val="zh-CN"/>
        </w:rPr>
        <w:t>本规范依据国家计量技术规范JJF 1071-2010《国家计量校准规范编写规则》、JJF 1001-2011《通用计量术语及定义》、JJF 1059.1-2012《测量不确定度评定与表示》编制而成。</w:t>
      </w:r>
    </w:p>
    <w:p w14:paraId="42BBB553">
      <w:pPr>
        <w:tabs>
          <w:tab w:val="left" w:pos="540"/>
        </w:tabs>
        <w:autoSpaceDE w:val="0"/>
        <w:autoSpaceDN w:val="0"/>
        <w:adjustRightInd w:val="0"/>
        <w:spacing w:line="360" w:lineRule="auto"/>
        <w:ind w:firstLine="440" w:firstLineChars="200"/>
        <w:jc w:val="left"/>
        <w:rPr>
          <w:rFonts w:eastAsiaTheme="minorEastAsia"/>
          <w:sz w:val="22"/>
          <w:szCs w:val="22"/>
          <w:highlight w:val="none"/>
          <w:lang w:val="zh-CN"/>
        </w:rPr>
      </w:pPr>
      <w:r>
        <w:rPr>
          <w:rFonts w:eastAsiaTheme="minorEastAsia"/>
          <w:sz w:val="22"/>
          <w:szCs w:val="22"/>
          <w:highlight w:val="none"/>
          <w:lang w:val="zh-CN"/>
        </w:rPr>
        <w:t>本规范参考了JJF（电子）0028-2019《低损耗介质材料复介电常数标准样片校准规范》</w:t>
      </w:r>
      <w:r>
        <w:rPr>
          <w:rFonts w:hint="eastAsia" w:eastAsiaTheme="minorEastAsia"/>
          <w:sz w:val="22"/>
          <w:szCs w:val="22"/>
          <w:highlight w:val="none"/>
          <w:lang w:val="zh-CN"/>
        </w:rPr>
        <w:t>、</w:t>
      </w:r>
      <w:r>
        <w:rPr>
          <w:rFonts w:eastAsiaTheme="minorEastAsia"/>
          <w:sz w:val="22"/>
          <w:szCs w:val="22"/>
          <w:highlight w:val="none"/>
          <w:lang w:val="zh-CN"/>
        </w:rPr>
        <w:t>GB/T 9534-1988《毫米波频段固体电介质材料介电特性测试方法 准光腔法》、T/CSTM 00750-2022《毫米波频段材料介电性能测试 开放式半球型谐振腔法》、T/CSTM 01011-2023《毫米波频段材料介电性能测试 开放式共聚焦谐振腔法》的相关内容。</w:t>
      </w:r>
    </w:p>
    <w:p w14:paraId="3627FD35">
      <w:pPr>
        <w:tabs>
          <w:tab w:val="left" w:pos="540"/>
        </w:tabs>
        <w:autoSpaceDE w:val="0"/>
        <w:autoSpaceDN w:val="0"/>
        <w:adjustRightInd w:val="0"/>
        <w:spacing w:line="360" w:lineRule="auto"/>
        <w:ind w:firstLine="440" w:firstLineChars="200"/>
        <w:rPr>
          <w:rFonts w:eastAsiaTheme="minorEastAsia"/>
          <w:sz w:val="22"/>
          <w:szCs w:val="22"/>
          <w:highlight w:val="none"/>
        </w:rPr>
      </w:pPr>
      <w:r>
        <w:rPr>
          <w:rFonts w:eastAsiaTheme="minorEastAsia"/>
          <w:sz w:val="22"/>
          <w:szCs w:val="22"/>
          <w:highlight w:val="none"/>
          <w:lang w:val="zh-CN"/>
        </w:rPr>
        <w:t>本规范为首次发布。</w:t>
      </w:r>
    </w:p>
    <w:p w14:paraId="7BCC9D21">
      <w:pPr>
        <w:autoSpaceDE w:val="0"/>
        <w:autoSpaceDN w:val="0"/>
        <w:adjustRightInd w:val="0"/>
        <w:spacing w:line="480" w:lineRule="auto"/>
        <w:jc w:val="center"/>
        <w:rPr>
          <w:rFonts w:eastAsiaTheme="minorEastAsia"/>
          <w:b/>
          <w:sz w:val="28"/>
          <w:szCs w:val="28"/>
          <w:highlight w:val="none"/>
        </w:rPr>
        <w:sectPr>
          <w:footerReference r:id="rId12" w:type="default"/>
          <w:pgSz w:w="12240" w:h="15840"/>
          <w:pgMar w:top="1440" w:right="1800" w:bottom="1440" w:left="1800" w:header="720" w:footer="720" w:gutter="0"/>
          <w:pgNumType w:fmt="upperRoman"/>
          <w:cols w:space="720" w:num="1"/>
        </w:sectPr>
      </w:pPr>
    </w:p>
    <w:p w14:paraId="5248986C">
      <w:pPr>
        <w:autoSpaceDE w:val="0"/>
        <w:autoSpaceDN w:val="0"/>
        <w:adjustRightInd w:val="0"/>
        <w:spacing w:line="276" w:lineRule="auto"/>
        <w:jc w:val="center"/>
        <w:rPr>
          <w:rFonts w:eastAsiaTheme="minorEastAsia"/>
          <w:sz w:val="32"/>
          <w:szCs w:val="32"/>
          <w:highlight w:val="none"/>
        </w:rPr>
      </w:pPr>
      <w:bookmarkStart w:id="9" w:name="_Toc16234"/>
      <w:bookmarkStart w:id="10" w:name="_Toc3557"/>
      <w:bookmarkStart w:id="11" w:name="_Toc14534"/>
      <w:bookmarkStart w:id="12" w:name="_Toc31303"/>
      <w:r>
        <w:rPr>
          <w:rFonts w:eastAsiaTheme="minorEastAsia"/>
          <w:sz w:val="32"/>
          <w:szCs w:val="32"/>
          <w:highlight w:val="none"/>
        </w:rPr>
        <w:t>准光腔法介电常数测量系统计量技术规范</w:t>
      </w:r>
    </w:p>
    <w:p w14:paraId="460C3D41">
      <w:pPr>
        <w:pStyle w:val="2"/>
        <w:spacing w:before="120" w:beforeLines="50" w:after="0" w:line="360" w:lineRule="auto"/>
        <w:rPr>
          <w:rFonts w:eastAsiaTheme="minorEastAsia"/>
          <w:bCs w:val="0"/>
          <w:sz w:val="24"/>
          <w:szCs w:val="24"/>
          <w:highlight w:val="none"/>
        </w:rPr>
      </w:pPr>
      <w:r>
        <w:rPr>
          <w:rFonts w:eastAsiaTheme="minorEastAsia"/>
          <w:bCs w:val="0"/>
          <w:sz w:val="24"/>
          <w:szCs w:val="24"/>
          <w:highlight w:val="none"/>
        </w:rPr>
        <w:t xml:space="preserve">1 </w:t>
      </w:r>
      <w:r>
        <w:rPr>
          <w:rFonts w:eastAsiaTheme="minorEastAsia"/>
          <w:bCs w:val="0"/>
          <w:sz w:val="24"/>
          <w:szCs w:val="24"/>
          <w:highlight w:val="none"/>
          <w:lang w:val="zh-CN"/>
        </w:rPr>
        <w:t>范围</w:t>
      </w:r>
      <w:bookmarkEnd w:id="9"/>
      <w:bookmarkEnd w:id="10"/>
      <w:bookmarkEnd w:id="11"/>
      <w:bookmarkEnd w:id="12"/>
    </w:p>
    <w:p w14:paraId="5E96AE2B">
      <w:pPr>
        <w:tabs>
          <w:tab w:val="left" w:pos="540"/>
        </w:tabs>
        <w:autoSpaceDE w:val="0"/>
        <w:autoSpaceDN w:val="0"/>
        <w:adjustRightInd w:val="0"/>
        <w:spacing w:line="360" w:lineRule="auto"/>
        <w:ind w:firstLine="440" w:firstLineChars="200"/>
        <w:rPr>
          <w:rFonts w:eastAsiaTheme="minorEastAsia"/>
          <w:sz w:val="22"/>
          <w:szCs w:val="22"/>
          <w:highlight w:val="none"/>
        </w:rPr>
      </w:pPr>
      <w:r>
        <w:rPr>
          <w:rFonts w:eastAsiaTheme="minorEastAsia"/>
          <w:sz w:val="22"/>
          <w:szCs w:val="22"/>
          <w:highlight w:val="none"/>
          <w:lang w:val="zh-CN"/>
        </w:rPr>
        <w:t>本规范</w:t>
      </w:r>
      <w:r>
        <w:rPr>
          <w:rFonts w:eastAsiaTheme="minorEastAsia"/>
          <w:sz w:val="22"/>
          <w:szCs w:val="22"/>
          <w:highlight w:val="none"/>
        </w:rPr>
        <w:t>规定了</w:t>
      </w:r>
      <w:r>
        <w:rPr>
          <w:rFonts w:eastAsiaTheme="minorEastAsia"/>
          <w:sz w:val="22"/>
          <w:szCs w:val="22"/>
          <w:highlight w:val="none"/>
          <w:lang w:val="zh-CN"/>
        </w:rPr>
        <w:t>频率范围在20GHz~110GHz</w:t>
      </w:r>
      <w:r>
        <w:rPr>
          <w:rFonts w:hint="eastAsia" w:eastAsiaTheme="minorEastAsia"/>
          <w:sz w:val="22"/>
          <w:szCs w:val="22"/>
          <w:highlight w:val="none"/>
          <w:lang w:val="zh-CN"/>
        </w:rPr>
        <w:t>、介电常数范围</w:t>
      </w:r>
      <w:r>
        <w:rPr>
          <w:rFonts w:eastAsiaTheme="minorEastAsia"/>
          <w:sz w:val="22"/>
          <w:szCs w:val="22"/>
          <w:highlight w:val="none"/>
          <w:lang w:val="zh-CN"/>
        </w:rPr>
        <w:t>2~20</w:t>
      </w:r>
      <w:r>
        <w:rPr>
          <w:rFonts w:hint="eastAsia" w:eastAsiaTheme="minorEastAsia"/>
          <w:sz w:val="22"/>
          <w:szCs w:val="22"/>
          <w:highlight w:val="none"/>
          <w:lang w:val="zh-CN"/>
        </w:rPr>
        <w:t>、损耗角正切范围0</w:t>
      </w:r>
      <w:r>
        <w:rPr>
          <w:rFonts w:eastAsiaTheme="minorEastAsia"/>
          <w:sz w:val="22"/>
          <w:szCs w:val="22"/>
          <w:highlight w:val="none"/>
          <w:lang w:val="zh-CN"/>
        </w:rPr>
        <w:t>.0001~0.05</w:t>
      </w:r>
      <w:r>
        <w:rPr>
          <w:rFonts w:hint="eastAsia" w:eastAsiaTheme="minorEastAsia"/>
          <w:sz w:val="22"/>
          <w:szCs w:val="22"/>
          <w:highlight w:val="none"/>
          <w:lang w:val="zh-CN"/>
        </w:rPr>
        <w:t>的</w:t>
      </w:r>
      <w:r>
        <w:rPr>
          <w:rFonts w:eastAsiaTheme="minorEastAsia"/>
          <w:sz w:val="22"/>
          <w:szCs w:val="22"/>
          <w:highlight w:val="none"/>
          <w:lang w:val="zh-CN"/>
        </w:rPr>
        <w:t>共焦准光腔、半球准光腔和半</w:t>
      </w:r>
      <w:r>
        <w:rPr>
          <w:rFonts w:hint="eastAsia" w:eastAsiaTheme="minorEastAsia"/>
          <w:sz w:val="22"/>
          <w:szCs w:val="22"/>
          <w:highlight w:val="none"/>
          <w:lang w:val="zh-CN"/>
        </w:rPr>
        <w:t>共焦准光腔</w:t>
      </w:r>
      <w:r>
        <w:rPr>
          <w:rFonts w:eastAsiaTheme="minorEastAsia"/>
          <w:sz w:val="22"/>
          <w:szCs w:val="22"/>
          <w:highlight w:val="none"/>
          <w:lang w:val="zh-CN"/>
        </w:rPr>
        <w:t>的</w:t>
      </w:r>
      <w:r>
        <w:rPr>
          <w:rFonts w:hint="eastAsia" w:eastAsiaTheme="minorEastAsia"/>
          <w:sz w:val="22"/>
          <w:szCs w:val="22"/>
          <w:highlight w:val="none"/>
        </w:rPr>
        <w:t>校准</w:t>
      </w:r>
      <w:r>
        <w:rPr>
          <w:rFonts w:eastAsiaTheme="minorEastAsia"/>
          <w:sz w:val="22"/>
          <w:szCs w:val="22"/>
          <w:highlight w:val="none"/>
          <w:lang w:val="zh-CN"/>
        </w:rPr>
        <w:t>。</w:t>
      </w:r>
    </w:p>
    <w:p w14:paraId="55A4935E">
      <w:pPr>
        <w:pStyle w:val="2"/>
        <w:spacing w:before="120" w:beforeLines="50" w:after="0" w:line="360" w:lineRule="auto"/>
        <w:rPr>
          <w:rFonts w:eastAsiaTheme="minorEastAsia"/>
          <w:bCs w:val="0"/>
          <w:sz w:val="24"/>
          <w:szCs w:val="24"/>
          <w:highlight w:val="none"/>
        </w:rPr>
      </w:pPr>
      <w:bookmarkStart w:id="13" w:name="_Toc20086"/>
      <w:bookmarkStart w:id="14" w:name="_Toc6981"/>
      <w:bookmarkStart w:id="15" w:name="_Toc18575"/>
      <w:bookmarkStart w:id="16" w:name="_Toc27612"/>
      <w:r>
        <w:rPr>
          <w:rFonts w:eastAsiaTheme="minorEastAsia"/>
          <w:bCs w:val="0"/>
          <w:sz w:val="24"/>
          <w:szCs w:val="24"/>
          <w:highlight w:val="none"/>
        </w:rPr>
        <w:t>2 引用文件</w:t>
      </w:r>
      <w:bookmarkEnd w:id="13"/>
      <w:bookmarkEnd w:id="14"/>
      <w:bookmarkEnd w:id="15"/>
      <w:bookmarkEnd w:id="16"/>
    </w:p>
    <w:p w14:paraId="25B65EA2">
      <w:pPr>
        <w:pStyle w:val="36"/>
        <w:spacing w:line="360" w:lineRule="auto"/>
        <w:ind w:firstLine="440"/>
        <w:rPr>
          <w:rFonts w:ascii="Times New Roman" w:hAnsi="Times New Roman" w:eastAsiaTheme="minorEastAsia"/>
          <w:kern w:val="2"/>
          <w:sz w:val="22"/>
          <w:szCs w:val="22"/>
          <w:highlight w:val="none"/>
          <w:lang w:val="zh-CN"/>
        </w:rPr>
      </w:pPr>
      <w:r>
        <w:rPr>
          <w:rFonts w:ascii="Times New Roman" w:hAnsi="Times New Roman" w:eastAsiaTheme="minorEastAsia"/>
          <w:kern w:val="2"/>
          <w:sz w:val="22"/>
          <w:szCs w:val="22"/>
          <w:highlight w:val="none"/>
          <w:lang w:val="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0592C64">
      <w:pPr>
        <w:tabs>
          <w:tab w:val="left" w:pos="540"/>
        </w:tabs>
        <w:autoSpaceDE w:val="0"/>
        <w:autoSpaceDN w:val="0"/>
        <w:adjustRightInd w:val="0"/>
        <w:spacing w:line="360" w:lineRule="auto"/>
        <w:ind w:firstLine="440" w:firstLineChars="200"/>
        <w:rPr>
          <w:rFonts w:eastAsiaTheme="minorEastAsia"/>
          <w:sz w:val="22"/>
          <w:szCs w:val="22"/>
          <w:highlight w:val="none"/>
          <w:lang w:val="zh-CN"/>
        </w:rPr>
      </w:pPr>
      <w:r>
        <w:rPr>
          <w:rFonts w:eastAsiaTheme="minorEastAsia"/>
          <w:sz w:val="22"/>
          <w:szCs w:val="22"/>
          <w:highlight w:val="none"/>
          <w:lang w:val="zh-CN"/>
        </w:rPr>
        <w:t>JJF（电子）0028-2019《低损耗介质材料复介电常数标准样片校准规范》</w:t>
      </w:r>
    </w:p>
    <w:p w14:paraId="65A18B39">
      <w:pPr>
        <w:tabs>
          <w:tab w:val="left" w:pos="540"/>
        </w:tabs>
        <w:autoSpaceDE w:val="0"/>
        <w:autoSpaceDN w:val="0"/>
        <w:adjustRightInd w:val="0"/>
        <w:spacing w:line="360" w:lineRule="auto"/>
        <w:ind w:firstLine="440" w:firstLineChars="200"/>
        <w:rPr>
          <w:rFonts w:eastAsiaTheme="minorEastAsia"/>
          <w:sz w:val="22"/>
          <w:szCs w:val="22"/>
          <w:highlight w:val="none"/>
          <w:lang w:val="zh-CN"/>
        </w:rPr>
      </w:pPr>
      <w:r>
        <w:rPr>
          <w:rFonts w:eastAsiaTheme="minorEastAsia"/>
          <w:sz w:val="22"/>
          <w:szCs w:val="22"/>
          <w:highlight w:val="none"/>
          <w:lang w:val="zh-CN"/>
        </w:rPr>
        <w:t>GB/T 9534-1988《毫米波频段固体电介质材料介电特性测试方法 准光腔法》</w:t>
      </w:r>
    </w:p>
    <w:p w14:paraId="0166EDE4">
      <w:pPr>
        <w:tabs>
          <w:tab w:val="left" w:pos="540"/>
        </w:tabs>
        <w:autoSpaceDE w:val="0"/>
        <w:autoSpaceDN w:val="0"/>
        <w:adjustRightInd w:val="0"/>
        <w:spacing w:line="360" w:lineRule="auto"/>
        <w:ind w:firstLine="440" w:firstLineChars="200"/>
        <w:rPr>
          <w:rFonts w:eastAsiaTheme="minorEastAsia"/>
          <w:sz w:val="22"/>
          <w:szCs w:val="22"/>
          <w:highlight w:val="none"/>
          <w:lang w:val="zh-CN"/>
        </w:rPr>
      </w:pPr>
      <w:r>
        <w:rPr>
          <w:rFonts w:eastAsiaTheme="minorEastAsia"/>
          <w:sz w:val="22"/>
          <w:szCs w:val="22"/>
          <w:highlight w:val="none"/>
          <w:lang w:val="zh-CN"/>
        </w:rPr>
        <w:t>GB/T 31838.1</w:t>
      </w:r>
      <w:r>
        <w:rPr>
          <w:rFonts w:hint="eastAsia" w:eastAsiaTheme="minorEastAsia"/>
          <w:sz w:val="22"/>
          <w:szCs w:val="22"/>
          <w:highlight w:val="none"/>
          <w:lang w:val="zh-CN"/>
        </w:rPr>
        <w:t>-</w:t>
      </w:r>
      <w:r>
        <w:rPr>
          <w:rFonts w:eastAsiaTheme="minorEastAsia"/>
          <w:sz w:val="22"/>
          <w:szCs w:val="22"/>
          <w:highlight w:val="none"/>
          <w:lang w:val="zh-CN"/>
        </w:rPr>
        <w:t>2015 固体绝缘材料 介电和电阻特性</w:t>
      </w:r>
      <w:r>
        <w:rPr>
          <w:rFonts w:hint="eastAsia" w:eastAsiaTheme="minorEastAsia"/>
          <w:sz w:val="22"/>
          <w:szCs w:val="22"/>
          <w:highlight w:val="none"/>
          <w:lang w:val="zh-CN"/>
        </w:rPr>
        <w:t xml:space="preserve"> </w:t>
      </w:r>
      <w:r>
        <w:rPr>
          <w:rFonts w:eastAsiaTheme="minorEastAsia"/>
          <w:sz w:val="22"/>
          <w:szCs w:val="22"/>
          <w:highlight w:val="none"/>
          <w:lang w:val="zh-CN"/>
        </w:rPr>
        <w:t>第1部分</w:t>
      </w:r>
      <w:r>
        <w:rPr>
          <w:rFonts w:hint="eastAsia" w:eastAsiaTheme="minorEastAsia"/>
          <w:sz w:val="22"/>
          <w:szCs w:val="22"/>
          <w:highlight w:val="none"/>
          <w:lang w:val="zh-CN"/>
        </w:rPr>
        <w:t>：总则</w:t>
      </w:r>
    </w:p>
    <w:p w14:paraId="64C0F1AF">
      <w:pPr>
        <w:tabs>
          <w:tab w:val="left" w:pos="540"/>
        </w:tabs>
        <w:autoSpaceDE w:val="0"/>
        <w:autoSpaceDN w:val="0"/>
        <w:adjustRightInd w:val="0"/>
        <w:spacing w:line="360" w:lineRule="auto"/>
        <w:ind w:firstLine="440" w:firstLineChars="200"/>
        <w:rPr>
          <w:rFonts w:eastAsiaTheme="minorEastAsia"/>
          <w:sz w:val="22"/>
          <w:szCs w:val="22"/>
          <w:highlight w:val="none"/>
          <w:lang w:val="zh-CN"/>
        </w:rPr>
      </w:pPr>
      <w:r>
        <w:rPr>
          <w:rFonts w:eastAsiaTheme="minorEastAsia"/>
          <w:sz w:val="22"/>
          <w:szCs w:val="22"/>
          <w:highlight w:val="none"/>
          <w:lang w:val="zh-CN"/>
        </w:rPr>
        <w:t>GB/T 31838.6</w:t>
      </w:r>
      <w:r>
        <w:rPr>
          <w:rFonts w:hint="eastAsia" w:eastAsiaTheme="minorEastAsia"/>
          <w:sz w:val="22"/>
          <w:szCs w:val="22"/>
          <w:highlight w:val="none"/>
          <w:lang w:val="zh-CN"/>
        </w:rPr>
        <w:t>-</w:t>
      </w:r>
      <w:r>
        <w:rPr>
          <w:rFonts w:eastAsiaTheme="minorEastAsia"/>
          <w:sz w:val="22"/>
          <w:szCs w:val="22"/>
          <w:highlight w:val="none"/>
          <w:lang w:val="zh-CN"/>
        </w:rPr>
        <w:t>2021 固体绝缘材料 介电和电阻特性</w:t>
      </w:r>
      <w:r>
        <w:rPr>
          <w:rFonts w:hint="eastAsia" w:eastAsiaTheme="minorEastAsia"/>
          <w:sz w:val="22"/>
          <w:szCs w:val="22"/>
          <w:highlight w:val="none"/>
          <w:lang w:val="zh-CN"/>
        </w:rPr>
        <w:t xml:space="preserve"> </w:t>
      </w:r>
      <w:r>
        <w:rPr>
          <w:rFonts w:eastAsiaTheme="minorEastAsia"/>
          <w:sz w:val="22"/>
          <w:szCs w:val="22"/>
          <w:highlight w:val="none"/>
          <w:lang w:val="zh-CN"/>
        </w:rPr>
        <w:t>第6部分</w:t>
      </w:r>
      <w:r>
        <w:rPr>
          <w:rFonts w:hint="eastAsia" w:eastAsiaTheme="minorEastAsia"/>
          <w:sz w:val="22"/>
          <w:szCs w:val="22"/>
          <w:highlight w:val="none"/>
          <w:lang w:val="zh-CN"/>
        </w:rPr>
        <w:t>：</w:t>
      </w:r>
      <w:r>
        <w:rPr>
          <w:rFonts w:eastAsiaTheme="minorEastAsia"/>
          <w:sz w:val="22"/>
          <w:szCs w:val="22"/>
          <w:highlight w:val="none"/>
          <w:lang w:val="zh-CN"/>
        </w:rPr>
        <w:t>介电特性(AC方法)相对介电常数和介质损耗因数(频率0.1</w:t>
      </w:r>
      <w:r>
        <w:rPr>
          <w:rFonts w:hint="eastAsia" w:eastAsiaTheme="minorEastAsia"/>
          <w:sz w:val="22"/>
          <w:szCs w:val="22"/>
          <w:highlight w:val="none"/>
          <w:lang w:val="zh-CN"/>
        </w:rPr>
        <w:t xml:space="preserve"> </w:t>
      </w:r>
      <w:r>
        <w:rPr>
          <w:rFonts w:eastAsiaTheme="minorEastAsia"/>
          <w:sz w:val="22"/>
          <w:szCs w:val="22"/>
          <w:highlight w:val="none"/>
          <w:lang w:val="zh-CN"/>
        </w:rPr>
        <w:t>Hz~10</w:t>
      </w:r>
      <w:r>
        <w:rPr>
          <w:rFonts w:hint="eastAsia" w:eastAsiaTheme="minorEastAsia"/>
          <w:sz w:val="22"/>
          <w:szCs w:val="22"/>
          <w:highlight w:val="none"/>
          <w:lang w:val="zh-CN"/>
        </w:rPr>
        <w:t xml:space="preserve"> </w:t>
      </w:r>
      <w:r>
        <w:rPr>
          <w:rFonts w:eastAsiaTheme="minorEastAsia"/>
          <w:sz w:val="22"/>
          <w:szCs w:val="22"/>
          <w:highlight w:val="none"/>
          <w:lang w:val="zh-CN"/>
        </w:rPr>
        <w:t>MHz)</w:t>
      </w:r>
    </w:p>
    <w:p w14:paraId="5904A6B5">
      <w:pPr>
        <w:tabs>
          <w:tab w:val="left" w:pos="540"/>
        </w:tabs>
        <w:autoSpaceDE w:val="0"/>
        <w:autoSpaceDN w:val="0"/>
        <w:adjustRightInd w:val="0"/>
        <w:spacing w:line="360" w:lineRule="auto"/>
        <w:ind w:firstLine="440" w:firstLineChars="200"/>
        <w:jc w:val="left"/>
        <w:rPr>
          <w:rFonts w:eastAsiaTheme="minorEastAsia"/>
          <w:sz w:val="22"/>
          <w:szCs w:val="22"/>
          <w:highlight w:val="none"/>
          <w:lang w:val="zh-CN"/>
        </w:rPr>
      </w:pPr>
      <w:r>
        <w:rPr>
          <w:rFonts w:eastAsiaTheme="minorEastAsia"/>
          <w:sz w:val="22"/>
          <w:szCs w:val="22"/>
          <w:highlight w:val="none"/>
          <w:lang w:val="zh-CN"/>
        </w:rPr>
        <w:t>JIS R 1660-2</w:t>
      </w:r>
      <w:r>
        <w:rPr>
          <w:rFonts w:hint="eastAsia" w:eastAsiaTheme="minorEastAsia"/>
          <w:sz w:val="22"/>
          <w:szCs w:val="22"/>
          <w:highlight w:val="none"/>
          <w:lang w:val="zh-CN"/>
        </w:rPr>
        <w:t>-</w:t>
      </w:r>
      <w:r>
        <w:rPr>
          <w:rFonts w:eastAsiaTheme="minorEastAsia"/>
          <w:sz w:val="22"/>
          <w:szCs w:val="22"/>
          <w:highlight w:val="none"/>
          <w:lang w:val="zh-CN"/>
        </w:rPr>
        <w:t xml:space="preserve">2004 </w:t>
      </w:r>
      <w:r>
        <w:rPr>
          <w:rFonts w:hint="eastAsia" w:eastAsiaTheme="minorEastAsia"/>
          <w:sz w:val="22"/>
          <w:szCs w:val="22"/>
          <w:highlight w:val="none"/>
          <w:lang w:val="zh-CN"/>
        </w:rPr>
        <w:t>毫米波段精细陶瓷介电性能的测量方法-第2部分：开放式谐振腔法（</w:t>
      </w:r>
      <w:r>
        <w:rPr>
          <w:rFonts w:eastAsiaTheme="minorEastAsia"/>
          <w:sz w:val="22"/>
          <w:szCs w:val="22"/>
          <w:highlight w:val="none"/>
          <w:lang w:val="zh-CN"/>
        </w:rPr>
        <w:t>JIS R1660-2-</w:t>
      </w:r>
      <w:r>
        <w:rPr>
          <w:rFonts w:hint="eastAsia" w:eastAsiaTheme="minorEastAsia"/>
          <w:sz w:val="22"/>
          <w:szCs w:val="22"/>
          <w:highlight w:val="none"/>
          <w:lang w:val="zh-CN"/>
        </w:rPr>
        <w:t>2</w:t>
      </w:r>
      <w:r>
        <w:rPr>
          <w:rFonts w:eastAsiaTheme="minorEastAsia"/>
          <w:sz w:val="22"/>
          <w:szCs w:val="22"/>
          <w:highlight w:val="none"/>
          <w:lang w:val="zh-CN"/>
        </w:rPr>
        <w:t>004</w:t>
      </w:r>
      <w:r>
        <w:rPr>
          <w:rFonts w:hint="eastAsia" w:eastAsiaTheme="minorEastAsia"/>
          <w:sz w:val="22"/>
          <w:szCs w:val="22"/>
          <w:highlight w:val="none"/>
          <w:lang w:val="zh-CN"/>
        </w:rPr>
        <w:t xml:space="preserve"> </w:t>
      </w:r>
      <w:r>
        <w:rPr>
          <w:rFonts w:eastAsiaTheme="minorEastAsia"/>
          <w:sz w:val="22"/>
          <w:szCs w:val="22"/>
          <w:highlight w:val="none"/>
          <w:lang w:val="zh-CN"/>
        </w:rPr>
        <w:t> Measurement method for dielectric properties of fine ceramics in millimeter wave  </w:t>
      </w:r>
    </w:p>
    <w:p w14:paraId="16CD4D22">
      <w:pPr>
        <w:tabs>
          <w:tab w:val="left" w:pos="540"/>
        </w:tabs>
        <w:autoSpaceDE w:val="0"/>
        <w:autoSpaceDN w:val="0"/>
        <w:adjustRightInd w:val="0"/>
        <w:spacing w:line="360" w:lineRule="auto"/>
        <w:jc w:val="left"/>
        <w:rPr>
          <w:rFonts w:eastAsiaTheme="minorEastAsia"/>
          <w:sz w:val="22"/>
          <w:szCs w:val="22"/>
          <w:highlight w:val="none"/>
        </w:rPr>
      </w:pPr>
      <w:r>
        <w:rPr>
          <w:rFonts w:eastAsiaTheme="minorEastAsia"/>
          <w:sz w:val="22"/>
          <w:szCs w:val="22"/>
          <w:highlight w:val="none"/>
        </w:rPr>
        <w:t>frequency range -- Part 2：Open resonator method</w:t>
      </w:r>
      <w:r>
        <w:rPr>
          <w:rFonts w:hint="eastAsia" w:eastAsiaTheme="minorEastAsia"/>
          <w:sz w:val="22"/>
          <w:szCs w:val="22"/>
          <w:highlight w:val="none"/>
        </w:rPr>
        <w:t>）</w:t>
      </w:r>
    </w:p>
    <w:p w14:paraId="01488543">
      <w:pPr>
        <w:tabs>
          <w:tab w:val="left" w:pos="540"/>
        </w:tabs>
        <w:autoSpaceDE w:val="0"/>
        <w:autoSpaceDN w:val="0"/>
        <w:adjustRightInd w:val="0"/>
        <w:spacing w:line="360" w:lineRule="auto"/>
        <w:ind w:firstLine="440" w:firstLineChars="200"/>
        <w:rPr>
          <w:rFonts w:eastAsiaTheme="minorEastAsia"/>
          <w:sz w:val="22"/>
          <w:szCs w:val="22"/>
          <w:highlight w:val="none"/>
          <w:lang w:val="zh-CN"/>
        </w:rPr>
      </w:pPr>
      <w:r>
        <w:rPr>
          <w:rFonts w:eastAsiaTheme="minorEastAsia"/>
          <w:sz w:val="22"/>
          <w:szCs w:val="22"/>
          <w:highlight w:val="none"/>
          <w:lang w:val="zh-CN"/>
        </w:rPr>
        <w:t>T/CSTM 00750-2022《毫米波频段材料介电性能测试 开</w:t>
      </w:r>
      <w:r>
        <w:rPr>
          <w:rFonts w:hint="eastAsia" w:eastAsiaTheme="minorEastAsia"/>
          <w:sz w:val="22"/>
          <w:szCs w:val="22"/>
          <w:highlight w:val="none"/>
          <w:lang w:val="zh-CN"/>
        </w:rPr>
        <w:t>放式半球型谐振腔法</w:t>
      </w:r>
      <w:r>
        <w:rPr>
          <w:rFonts w:eastAsiaTheme="minorEastAsia"/>
          <w:sz w:val="22"/>
          <w:szCs w:val="22"/>
          <w:highlight w:val="none"/>
          <w:lang w:val="zh-CN"/>
        </w:rPr>
        <w:t>》</w:t>
      </w:r>
    </w:p>
    <w:p w14:paraId="0C92EC77">
      <w:pPr>
        <w:tabs>
          <w:tab w:val="left" w:pos="540"/>
        </w:tabs>
        <w:autoSpaceDE w:val="0"/>
        <w:autoSpaceDN w:val="0"/>
        <w:adjustRightInd w:val="0"/>
        <w:spacing w:line="360" w:lineRule="auto"/>
        <w:ind w:firstLine="440" w:firstLineChars="200"/>
        <w:rPr>
          <w:rFonts w:eastAsiaTheme="minorEastAsia"/>
          <w:sz w:val="22"/>
          <w:szCs w:val="22"/>
          <w:highlight w:val="none"/>
        </w:rPr>
      </w:pPr>
      <w:r>
        <w:rPr>
          <w:rFonts w:eastAsiaTheme="minorEastAsia"/>
          <w:sz w:val="22"/>
          <w:szCs w:val="22"/>
          <w:highlight w:val="none"/>
          <w:lang w:val="zh-CN"/>
        </w:rPr>
        <w:t>T/CSTM 01011-2023《毫米波频段材料介电性能测试 开放式共聚焦谐振腔法》</w:t>
      </w:r>
    </w:p>
    <w:p w14:paraId="7B86429B">
      <w:pPr>
        <w:pStyle w:val="2"/>
        <w:spacing w:before="120" w:beforeLines="50" w:after="0" w:line="360" w:lineRule="auto"/>
        <w:rPr>
          <w:rFonts w:eastAsiaTheme="minorEastAsia"/>
          <w:bCs w:val="0"/>
          <w:sz w:val="24"/>
          <w:szCs w:val="24"/>
          <w:highlight w:val="none"/>
        </w:rPr>
      </w:pPr>
      <w:bookmarkStart w:id="17" w:name="_Toc2071"/>
      <w:bookmarkStart w:id="18" w:name="_Toc31838"/>
      <w:bookmarkStart w:id="19" w:name="_Toc6256"/>
      <w:bookmarkStart w:id="20" w:name="_Toc24847"/>
      <w:r>
        <w:rPr>
          <w:rFonts w:eastAsiaTheme="minorEastAsia"/>
          <w:bCs w:val="0"/>
          <w:sz w:val="24"/>
          <w:szCs w:val="24"/>
          <w:highlight w:val="none"/>
        </w:rPr>
        <w:t>3 术语和定义</w:t>
      </w:r>
      <w:bookmarkEnd w:id="17"/>
    </w:p>
    <w:p w14:paraId="68B6290B">
      <w:pPr>
        <w:pStyle w:val="41"/>
        <w:numPr>
          <w:ilvl w:val="0"/>
          <w:numId w:val="0"/>
        </w:numPr>
        <w:spacing w:beforeLines="0" w:afterLines="0"/>
        <w:ind w:left="142" w:firstLine="440" w:firstLineChars="200"/>
        <w:rPr>
          <w:rFonts w:ascii="Times New Roman" w:hAnsi="Times New Roman" w:eastAsiaTheme="minorEastAsia"/>
          <w:kern w:val="2"/>
          <w:sz w:val="22"/>
          <w:szCs w:val="22"/>
          <w:highlight w:val="none"/>
        </w:rPr>
      </w:pPr>
      <w:bookmarkStart w:id="21" w:name="_Toc99566835"/>
      <w:bookmarkStart w:id="22" w:name="_Toc16219"/>
      <w:r>
        <w:rPr>
          <w:rFonts w:ascii="Times New Roman" w:hAnsi="Times New Roman" w:eastAsiaTheme="minorEastAsia"/>
          <w:kern w:val="2"/>
          <w:sz w:val="22"/>
          <w:szCs w:val="22"/>
          <w:highlight w:val="none"/>
        </w:rPr>
        <w:t>GB/T 31838.1、GB/T 31838.6 和JIS R 1660-2中界定的术语和定义适用于本文件。</w:t>
      </w:r>
      <w:bookmarkEnd w:id="21"/>
    </w:p>
    <w:p w14:paraId="1DBD4739">
      <w:pPr>
        <w:pStyle w:val="2"/>
        <w:spacing w:before="120" w:beforeLines="50" w:after="0" w:line="360" w:lineRule="auto"/>
        <w:rPr>
          <w:rFonts w:eastAsiaTheme="minorEastAsia"/>
          <w:sz w:val="22"/>
          <w:szCs w:val="22"/>
          <w:highlight w:val="none"/>
        </w:rPr>
      </w:pPr>
      <w:bookmarkStart w:id="23" w:name="_Toc99566836"/>
      <w:r>
        <w:rPr>
          <w:rFonts w:hint="eastAsia" w:eastAsiaTheme="minorEastAsia"/>
          <w:bCs w:val="0"/>
          <w:sz w:val="22"/>
          <w:szCs w:val="22"/>
          <w:highlight w:val="none"/>
        </w:rPr>
        <w:t>3</w:t>
      </w:r>
      <w:r>
        <w:rPr>
          <w:rFonts w:eastAsiaTheme="minorEastAsia"/>
          <w:bCs w:val="0"/>
          <w:sz w:val="22"/>
          <w:szCs w:val="22"/>
          <w:highlight w:val="none"/>
        </w:rPr>
        <w:t>.1介电性能 dielectric properties</w:t>
      </w:r>
      <w:bookmarkEnd w:id="23"/>
    </w:p>
    <w:p w14:paraId="0162103B">
      <w:pPr>
        <w:pStyle w:val="36"/>
        <w:spacing w:line="360" w:lineRule="auto"/>
        <w:ind w:firstLine="440"/>
        <w:rPr>
          <w:rFonts w:ascii="Times New Roman" w:hAnsi="Times New Roman" w:eastAsiaTheme="minorEastAsia"/>
          <w:kern w:val="2"/>
          <w:sz w:val="22"/>
          <w:szCs w:val="22"/>
          <w:highlight w:val="none"/>
        </w:rPr>
      </w:pPr>
      <w:r>
        <w:rPr>
          <w:rFonts w:ascii="Times New Roman" w:hAnsi="Times New Roman" w:eastAsiaTheme="minorEastAsia"/>
          <w:kern w:val="2"/>
          <w:sz w:val="22"/>
          <w:szCs w:val="22"/>
          <w:highlight w:val="none"/>
        </w:rPr>
        <w:t>在给定频率范围内用交流电压测量出的材料综合特性。</w:t>
      </w:r>
    </w:p>
    <w:p w14:paraId="2A155597">
      <w:pPr>
        <w:pStyle w:val="41"/>
        <w:numPr>
          <w:ilvl w:val="0"/>
          <w:numId w:val="0"/>
        </w:numPr>
        <w:spacing w:beforeLines="0" w:afterLines="0" w:line="360" w:lineRule="auto"/>
        <w:ind w:firstLine="440" w:firstLineChars="200"/>
        <w:rPr>
          <w:rFonts w:ascii="Times New Roman" w:hAnsi="Times New Roman" w:eastAsiaTheme="minorEastAsia"/>
          <w:kern w:val="2"/>
          <w:sz w:val="22"/>
          <w:szCs w:val="22"/>
          <w:highlight w:val="none"/>
        </w:rPr>
      </w:pPr>
      <w:bookmarkStart w:id="24" w:name="_Toc99566837"/>
      <w:r>
        <w:rPr>
          <w:rFonts w:ascii="Times New Roman" w:hAnsi="Times New Roman" w:eastAsiaTheme="minorEastAsia"/>
          <w:kern w:val="2"/>
          <w:sz w:val="22"/>
          <w:szCs w:val="22"/>
          <w:highlight w:val="none"/>
        </w:rPr>
        <w:t>[来源：GB/T 31838.1-2015，3.3，有修改]</w:t>
      </w:r>
      <w:bookmarkEnd w:id="24"/>
    </w:p>
    <w:p w14:paraId="0F815781">
      <w:pPr>
        <w:pStyle w:val="2"/>
        <w:spacing w:before="120" w:beforeLines="50" w:after="0" w:line="360" w:lineRule="auto"/>
        <w:rPr>
          <w:rFonts w:eastAsiaTheme="minorEastAsia"/>
          <w:bCs w:val="0"/>
          <w:sz w:val="22"/>
          <w:szCs w:val="22"/>
          <w:highlight w:val="none"/>
        </w:rPr>
      </w:pPr>
      <w:bookmarkStart w:id="25" w:name="_Toc99566838"/>
      <w:r>
        <w:rPr>
          <w:rFonts w:eastAsiaTheme="minorEastAsia"/>
          <w:bCs w:val="0"/>
          <w:sz w:val="22"/>
          <w:szCs w:val="22"/>
          <w:highlight w:val="none"/>
        </w:rPr>
        <w:t>3.2绝对介电常数 absolute permittivity</w:t>
      </w:r>
      <w:bookmarkEnd w:id="25"/>
    </w:p>
    <w:p w14:paraId="7006A014">
      <w:pPr>
        <w:pStyle w:val="36"/>
        <w:spacing w:line="360" w:lineRule="auto"/>
        <w:ind w:firstLine="440"/>
        <w:rPr>
          <w:rFonts w:ascii="Times New Roman" w:hAnsi="Times New Roman" w:eastAsiaTheme="minorEastAsia"/>
          <w:kern w:val="2"/>
          <w:sz w:val="22"/>
          <w:szCs w:val="22"/>
          <w:highlight w:val="none"/>
        </w:rPr>
      </w:pPr>
      <w:r>
        <w:rPr>
          <w:rFonts w:ascii="Times New Roman" w:hAnsi="Times New Roman" w:eastAsiaTheme="minorEastAsia"/>
          <w:kern w:val="2"/>
          <w:sz w:val="22"/>
          <w:szCs w:val="22"/>
          <w:highlight w:val="none"/>
        </w:rPr>
        <w:t>电通密度除以电场强度的商。</w:t>
      </w:r>
    </w:p>
    <w:p w14:paraId="493807E7">
      <w:pPr>
        <w:pStyle w:val="36"/>
        <w:spacing w:line="360" w:lineRule="auto"/>
        <w:ind w:firstLine="440"/>
        <w:rPr>
          <w:rFonts w:ascii="Times New Roman" w:hAnsi="Times New Roman" w:eastAsiaTheme="minorEastAsia"/>
          <w:kern w:val="2"/>
          <w:sz w:val="22"/>
          <w:szCs w:val="22"/>
          <w:highlight w:val="none"/>
        </w:rPr>
      </w:pPr>
      <w:r>
        <w:rPr>
          <w:rFonts w:ascii="Times New Roman" w:hAnsi="Times New Roman" w:eastAsiaTheme="minorEastAsia"/>
          <w:kern w:val="2"/>
          <w:sz w:val="22"/>
          <w:szCs w:val="22"/>
          <w:highlight w:val="none"/>
        </w:rPr>
        <w:t>[来源：GB/T 31838.6-2021，3.3]</w:t>
      </w:r>
    </w:p>
    <w:p w14:paraId="0594090E">
      <w:pPr>
        <w:pStyle w:val="2"/>
        <w:spacing w:before="120" w:beforeLines="50" w:after="0" w:line="360" w:lineRule="auto"/>
        <w:rPr>
          <w:rFonts w:eastAsiaTheme="minorEastAsia"/>
          <w:bCs w:val="0"/>
          <w:sz w:val="22"/>
          <w:szCs w:val="22"/>
          <w:highlight w:val="none"/>
        </w:rPr>
      </w:pPr>
      <w:bookmarkStart w:id="26" w:name="_Toc99566839"/>
      <w:r>
        <w:rPr>
          <w:rFonts w:eastAsiaTheme="minorEastAsia"/>
          <w:bCs w:val="0"/>
          <w:sz w:val="22"/>
          <w:szCs w:val="22"/>
          <w:highlight w:val="none"/>
        </w:rPr>
        <w:t>3.3 相对介电常数 relative permittivity</w:t>
      </w:r>
      <w:bookmarkEnd w:id="26"/>
    </w:p>
    <w:p w14:paraId="1B2C134A">
      <w:pPr>
        <w:pStyle w:val="36"/>
        <w:spacing w:line="360" w:lineRule="auto"/>
        <w:ind w:firstLine="440"/>
        <w:rPr>
          <w:rFonts w:ascii="Times New Roman" w:hAnsi="Times New Roman" w:eastAsiaTheme="minorEastAsia"/>
          <w:kern w:val="2"/>
          <w:sz w:val="22"/>
          <w:szCs w:val="22"/>
          <w:highlight w:val="none"/>
        </w:rPr>
      </w:pPr>
      <w:r>
        <w:rPr>
          <w:rFonts w:ascii="Times New Roman" w:hAnsi="Times New Roman" w:eastAsiaTheme="minorEastAsia"/>
          <w:kern w:val="2"/>
          <w:sz w:val="22"/>
          <w:szCs w:val="22"/>
          <w:highlight w:val="none"/>
        </w:rPr>
        <w:t>绝对介电常数与真空介电常数的比值。</w:t>
      </w:r>
    </w:p>
    <w:p w14:paraId="04ECB004">
      <w:pPr>
        <w:pStyle w:val="36"/>
        <w:spacing w:line="360" w:lineRule="auto"/>
        <w:ind w:firstLine="440"/>
        <w:rPr>
          <w:rFonts w:ascii="Times New Roman" w:hAnsi="Times New Roman" w:eastAsiaTheme="minorEastAsia"/>
          <w:kern w:val="2"/>
          <w:sz w:val="22"/>
          <w:szCs w:val="22"/>
          <w:highlight w:val="none"/>
        </w:rPr>
      </w:pPr>
      <w:r>
        <w:rPr>
          <w:rFonts w:ascii="Times New Roman" w:hAnsi="Times New Roman" w:eastAsiaTheme="minorEastAsia"/>
          <w:kern w:val="2"/>
          <w:sz w:val="22"/>
          <w:szCs w:val="22"/>
          <w:highlight w:val="none"/>
        </w:rPr>
        <w:t>[来源：GB/T 31838.6-2021，3.4]</w:t>
      </w:r>
    </w:p>
    <w:p w14:paraId="07292A6D">
      <w:pPr>
        <w:pStyle w:val="2"/>
        <w:spacing w:before="120" w:beforeLines="50" w:after="0" w:line="360" w:lineRule="auto"/>
        <w:rPr>
          <w:rFonts w:eastAsiaTheme="minorEastAsia"/>
          <w:bCs w:val="0"/>
          <w:sz w:val="22"/>
          <w:szCs w:val="22"/>
          <w:highlight w:val="none"/>
        </w:rPr>
      </w:pPr>
      <w:bookmarkStart w:id="27" w:name="_Toc99566840"/>
      <w:r>
        <w:rPr>
          <w:rFonts w:eastAsiaTheme="minorEastAsia"/>
          <w:bCs w:val="0"/>
          <w:sz w:val="22"/>
          <w:szCs w:val="22"/>
          <w:highlight w:val="none"/>
        </w:rPr>
        <w:t>3.4 相对复介电常数 relative complex permittivity</w:t>
      </w:r>
      <w:bookmarkEnd w:id="27"/>
    </w:p>
    <w:p w14:paraId="514D4813">
      <w:pPr>
        <w:pStyle w:val="36"/>
        <w:spacing w:line="360" w:lineRule="auto"/>
        <w:ind w:firstLine="440"/>
        <w:rPr>
          <w:rFonts w:ascii="Times New Roman" w:hAnsi="Times New Roman" w:eastAsiaTheme="minorEastAsia"/>
          <w:kern w:val="2"/>
          <w:sz w:val="22"/>
          <w:szCs w:val="22"/>
          <w:highlight w:val="none"/>
        </w:rPr>
      </w:pPr>
      <w:r>
        <w:rPr>
          <w:rFonts w:ascii="Times New Roman" w:hAnsi="Times New Roman" w:eastAsiaTheme="minorEastAsia"/>
          <w:kern w:val="2"/>
          <w:sz w:val="22"/>
          <w:szCs w:val="22"/>
          <w:highlight w:val="none"/>
        </w:rPr>
        <w:t>稳定的正弦场下,以复数表示的介电常数。</w:t>
      </w:r>
    </w:p>
    <w:p w14:paraId="1CD2EEC0">
      <w:pPr>
        <w:pStyle w:val="36"/>
        <w:spacing w:line="360" w:lineRule="auto"/>
        <w:ind w:firstLine="426" w:firstLineChars="194"/>
        <w:rPr>
          <w:rFonts w:ascii="Times New Roman" w:hAnsi="Times New Roman" w:eastAsiaTheme="minorEastAsia"/>
          <w:kern w:val="2"/>
          <w:sz w:val="22"/>
          <w:szCs w:val="22"/>
          <w:highlight w:val="none"/>
        </w:rPr>
      </w:pPr>
      <w:r>
        <w:rPr>
          <w:rFonts w:ascii="Times New Roman" w:hAnsi="Times New Roman" w:eastAsiaTheme="minorEastAsia"/>
          <w:kern w:val="2"/>
          <w:sz w:val="22"/>
          <w:szCs w:val="22"/>
          <w:highlight w:val="none"/>
        </w:rPr>
        <w:t>[来源：GB/T 31838.6-2021，3.5]</w:t>
      </w:r>
      <w:bookmarkStart w:id="28" w:name="_Toc99566841"/>
    </w:p>
    <w:p w14:paraId="631DFA2A">
      <w:pPr>
        <w:pStyle w:val="2"/>
        <w:spacing w:before="120" w:beforeLines="50" w:after="0" w:line="360" w:lineRule="auto"/>
        <w:rPr>
          <w:rFonts w:eastAsiaTheme="minorEastAsia"/>
          <w:bCs w:val="0"/>
          <w:sz w:val="22"/>
          <w:szCs w:val="22"/>
          <w:highlight w:val="none"/>
        </w:rPr>
      </w:pPr>
      <w:r>
        <w:rPr>
          <w:rFonts w:eastAsiaTheme="minorEastAsia"/>
          <w:bCs w:val="0"/>
          <w:sz w:val="22"/>
          <w:szCs w:val="22"/>
          <w:highlight w:val="none"/>
        </w:rPr>
        <w:t>3.5 介质损耗因数</w:t>
      </w:r>
      <w:r>
        <w:rPr>
          <w:rFonts w:eastAsiaTheme="minorEastAsia"/>
          <w:bCs w:val="0"/>
          <w:sz w:val="22"/>
          <w:szCs w:val="22"/>
          <w:highlight w:val="none"/>
        </w:rPr>
        <w:fldChar w:fldCharType="begin"/>
      </w:r>
      <w:r>
        <w:rPr>
          <w:rFonts w:eastAsiaTheme="minorEastAsia"/>
          <w:bCs w:val="0"/>
          <w:sz w:val="22"/>
          <w:szCs w:val="22"/>
          <w:highlight w:val="none"/>
        </w:rPr>
        <w:instrText xml:space="preserve"> QUOTE </w:instrText>
      </w:r>
      <w:r>
        <w:rPr>
          <w:rFonts w:eastAsiaTheme="minorEastAsia"/>
          <w:bCs w:val="0"/>
          <w:sz w:val="22"/>
          <w:szCs w:val="22"/>
          <w:highlight w:val="none"/>
        </w:rPr>
        <w:pict>
          <v:shape id="_x0000_i1025" o:spt="75" type="#_x0000_t75" style="height:46.5pt;width:21.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mirrorMargins/&gt;&lt;w:bordersDontSurroundHeader/&gt;&lt;w:bordersDontSurroundFooter/&gt;&lt;w:stylePaneFormatFilter w:val=&quot;5705&quot;/&gt;&lt;w:documentProtection w:edit=&quot;forms&quot; w:enforcement=&quot;off&quot;/&gt;&lt;w:defaultTabStop w:val=&quot;420&quot;/&gt;&lt;w:evenAndOddHeaders/&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commondata&quot; w:val=&quot;eyJoZGlkIjoiZWIyYjIyOGZhMmFjYmFjNDE3ZGU5NjExZWFjYTliNGMifQ==&quot;/&gt;&lt;/w:docVars&gt;&lt;wsp:rsids&gt;&lt;wsp:rsidRoot wsp:val=&quot;001672E5&quot;/&gt;&lt;wsp:rsid wsp:val=&quot;000019E7&quot;/&gt;&lt;wsp:rsid wsp:val=&quot;0000204E&quot;/&gt;&lt;wsp:rsid wsp:val=&quot;00003EE9&quot;/&gt;&lt;wsp:rsid wsp:val=&quot;00005112&quot;/&gt;&lt;wsp:rsid wsp:val=&quot;00006DB2&quot;/&gt;&lt;wsp:rsid wsp:val=&quot;00007ED6&quot;/&gt;&lt;wsp:rsid wsp:val=&quot;000138D6&quot;/&gt;&lt;wsp:rsid wsp:val=&quot;00030E58&quot;/&gt;&lt;wsp:rsid wsp:val=&quot;00031819&quot;/&gt;&lt;wsp:rsid wsp:val=&quot;0003284F&quot;/&gt;&lt;wsp:rsid wsp:val=&quot;00033056&quot;/&gt;&lt;wsp:rsid wsp:val=&quot;00035BF8&quot;/&gt;&lt;wsp:rsid wsp:val=&quot;00041189&quot;/&gt;&lt;wsp:rsid wsp:val=&quot;000412F3&quot;/&gt;&lt;wsp:rsid wsp:val=&quot;00042503&quot;/&gt;&lt;wsp:rsid wsp:val=&quot;000433E2&quot;/&gt;&lt;wsp:rsid wsp:val=&quot;000477CF&quot;/&gt;&lt;wsp:rsid wsp:val=&quot;00047A84&quot;/&gt;&lt;wsp:rsid wsp:val=&quot;00047D2B&quot;/&gt;&lt;wsp:rsid wsp:val=&quot;00050220&quot;/&gt;&lt;wsp:rsid wsp:val=&quot;00051928&quot;/&gt;&lt;wsp:rsid wsp:val=&quot;00053768&quot;/&gt;&lt;wsp:rsid wsp:val=&quot;00057C87&quot;/&gt;&lt;wsp:rsid wsp:val=&quot;00064EE2&quot;/&gt;&lt;wsp:rsid wsp:val=&quot;00075109&quot;/&gt;&lt;wsp:rsid wsp:val=&quot;000775F9&quot;/&gt;&lt;wsp:rsid wsp:val=&quot;000857F2&quot;/&gt;&lt;wsp:rsid wsp:val=&quot;00085D17&quot;/&gt;&lt;wsp:rsid wsp:val=&quot;00090F09&quot;/&gt;&lt;wsp:rsid wsp:val=&quot;000933FF&quot;/&gt;&lt;wsp:rsid wsp:val=&quot;000A3FBE&quot;/&gt;&lt;wsp:rsid wsp:val=&quot;000A4497&quot;/&gt;&lt;wsp:rsid wsp:val=&quot;000B205C&quot;/&gt;&lt;wsp:rsid wsp:val=&quot;000B22E8&quot;/&gt;&lt;wsp:rsid wsp:val=&quot;000B25A1&quot;/&gt;&lt;wsp:rsid wsp:val=&quot;000B73A1&quot;/&gt;&lt;wsp:rsid wsp:val=&quot;000C2464&quot;/&gt;&lt;wsp:rsid wsp:val=&quot;000C25E9&quot;/&gt;&lt;wsp:rsid wsp:val=&quot;000C2668&quot;/&gt;&lt;wsp:rsid wsp:val=&quot;000C5778&quot;/&gt;&lt;wsp:rsid wsp:val=&quot;000C5E63&quot;/&gt;&lt;wsp:rsid wsp:val=&quot;000D55DC&quot;/&gt;&lt;wsp:rsid wsp:val=&quot;000E0FFA&quot;/&gt;&lt;wsp:rsid wsp:val=&quot;000E1737&quot;/&gt;&lt;wsp:rsid wsp:val=&quot;000E26AC&quot;/&gt;&lt;wsp:rsid wsp:val=&quot;000E2E23&quot;/&gt;&lt;wsp:rsid wsp:val=&quot;000E3A5C&quot;/&gt;&lt;wsp:rsid wsp:val=&quot;000E4265&quot;/&gt;&lt;wsp:rsid wsp:val=&quot;000F4E10&quot;/&gt;&lt;wsp:rsid wsp:val=&quot;000F5296&quot;/&gt;&lt;wsp:rsid wsp:val=&quot;000F54C3&quot;/&gt;&lt;wsp:rsid wsp:val=&quot;000F5BAB&quot;/&gt;&lt;wsp:rsid wsp:val=&quot;001027B7&quot;/&gt;&lt;wsp:rsid wsp:val=&quot;00107E30&quot;/&gt;&lt;wsp:rsid wsp:val=&quot;001164E6&quot;/&gt;&lt;wsp:rsid wsp:val=&quot;00120A38&quot;/&gt;&lt;wsp:rsid wsp:val=&quot;00120DB8&quot;/&gt;&lt;wsp:rsid wsp:val=&quot;0012230D&quot;/&gt;&lt;wsp:rsid wsp:val=&quot;001223B3&quot;/&gt;&lt;wsp:rsid wsp:val=&quot;001224B1&quot;/&gt;&lt;wsp:rsid wsp:val=&quot;001270BD&quot;/&gt;&lt;wsp:rsid wsp:val=&quot;00141DC7&quot;/&gt;&lt;wsp:rsid wsp:val=&quot;00147187&quot;/&gt;&lt;wsp:rsid wsp:val=&quot;0015166D&quot;/&gt;&lt;wsp:rsid wsp:val=&quot;00151F04&quot;/&gt;&lt;wsp:rsid wsp:val=&quot;00155BC4&quot;/&gt;&lt;wsp:rsid wsp:val=&quot;00157AA9&quot;/&gt;&lt;wsp:rsid wsp:val=&quot;00161CF8&quot;/&gt;&lt;wsp:rsid wsp:val=&quot;00162AEF&quot;/&gt;&lt;wsp:rsid wsp:val=&quot;001667EC&quot;/&gt;&lt;wsp:rsid wsp:val=&quot;001672E5&quot;/&gt;&lt;wsp:rsid wsp:val=&quot;00170CB6&quot;/&gt;&lt;wsp:rsid wsp:val=&quot;00176AB5&quot;/&gt;&lt;wsp:rsid wsp:val=&quot;00176ADF&quot;/&gt;&lt;wsp:rsid wsp:val=&quot;0018156B&quot;/&gt;&lt;wsp:rsid wsp:val=&quot;00182F7A&quot;/&gt;&lt;wsp:rsid wsp:val=&quot;00184D29&quot;/&gt;&lt;wsp:rsid wsp:val=&quot;00192910&quot;/&gt;&lt;wsp:rsid wsp:val=&quot;001960EF&quot;/&gt;&lt;wsp:rsid wsp:val=&quot;001A018F&quot;/&gt;&lt;wsp:rsid wsp:val=&quot;001A3207&quot;/&gt;&lt;wsp:rsid wsp:val=&quot;001A63A6&quot;/&gt;&lt;wsp:rsid wsp:val=&quot;001A655E&quot;/&gt;&lt;wsp:rsid wsp:val=&quot;001B2788&quot;/&gt;&lt;wsp:rsid wsp:val=&quot;001B6836&quot;/&gt;&lt;wsp:rsid wsp:val=&quot;001C270F&quot;/&gt;&lt;wsp:rsid wsp:val=&quot;001D00CA&quot;/&gt;&lt;wsp:rsid wsp:val=&quot;001D120B&quot;/&gt;&lt;wsp:rsid wsp:val=&quot;001D1C7F&quot;/&gt;&lt;wsp:rsid wsp:val=&quot;001D2990&quot;/&gt;&lt;wsp:rsid wsp:val=&quot;001D3BDD&quot;/&gt;&lt;wsp:rsid wsp:val=&quot;001D53AA&quot;/&gt;&lt;wsp:rsid wsp:val=&quot;001D7E4C&quot;/&gt;&lt;wsp:rsid wsp:val=&quot;001E0BBD&quot;/&gt;&lt;wsp:rsid wsp:val=&quot;001E281F&quot;/&gt;&lt;wsp:rsid wsp:val=&quot;001E3109&quot;/&gt;&lt;wsp:rsid wsp:val=&quot;001E62DA&quot;/&gt;&lt;wsp:rsid wsp:val=&quot;001F464D&quot;/&gt;&lt;wsp:rsid wsp:val=&quot;0020181C&quot;/&gt;&lt;wsp:rsid wsp:val=&quot;002050E8&quot;/&gt;&lt;wsp:rsid wsp:val=&quot;00207851&quot;/&gt;&lt;wsp:rsid wsp:val=&quot;00207D5D&quot;/&gt;&lt;wsp:rsid wsp:val=&quot;00212AB4&quot;/&gt;&lt;wsp:rsid wsp:val=&quot;00215D26&quot;/&gt;&lt;wsp:rsid wsp:val=&quot;0022189E&quot;/&gt;&lt;wsp:rsid wsp:val=&quot;00222727&quot;/&gt;&lt;wsp:rsid wsp:val=&quot;002258E2&quot;/&gt;&lt;wsp:rsid wsp:val=&quot;00225B5C&quot;/&gt;&lt;wsp:rsid wsp:val=&quot;00227775&quot;/&gt;&lt;wsp:rsid wsp:val=&quot;002323CB&quot;/&gt;&lt;wsp:rsid wsp:val=&quot;00232A24&quot;/&gt;&lt;wsp:rsid wsp:val=&quot;00234813&quot;/&gt;&lt;wsp:rsid wsp:val=&quot;002407C2&quot;/&gt;&lt;wsp:rsid wsp:val=&quot;00243D25&quot;/&gt;&lt;wsp:rsid wsp:val=&quot;00245530&quot;/&gt;&lt;wsp:rsid wsp:val=&quot;0024587B&quot;/&gt;&lt;wsp:rsid wsp:val=&quot;00254E13&quot;/&gt;&lt;wsp:rsid wsp:val=&quot;0025545F&quot;/&gt;&lt;wsp:rsid wsp:val=&quot;00256F33&quot;/&gt;&lt;wsp:rsid wsp:val=&quot;00261031&quot;/&gt;&lt;wsp:rsid wsp:val=&quot;00262138&quot;/&gt;&lt;wsp:rsid wsp:val=&quot;00262EA5&quot;/&gt;&lt;wsp:rsid wsp:val=&quot;002668A8&quot;/&gt;&lt;wsp:rsid wsp:val=&quot;00270E59&quot;/&gt;&lt;wsp:rsid wsp:val=&quot;00275BA7&quot;/&gt;&lt;wsp:rsid wsp:val=&quot;00280019&quot;/&gt;&lt;wsp:rsid wsp:val=&quot;00286932&quot;/&gt;&lt;wsp:rsid wsp:val=&quot;00287A75&quot;/&gt;&lt;wsp:rsid wsp:val=&quot;002960BA&quot;/&gt;&lt;wsp:rsid wsp:val=&quot;00297078&quot;/&gt;&lt;wsp:rsid wsp:val=&quot;002A1897&quot;/&gt;&lt;wsp:rsid wsp:val=&quot;002A1A18&quot;/&gt;&lt;wsp:rsid wsp:val=&quot;002A44C8&quot;/&gt;&lt;wsp:rsid wsp:val=&quot;002A59E8&quot;/&gt;&lt;wsp:rsid wsp:val=&quot;002B000F&quot;/&gt;&lt;wsp:rsid wsp:val=&quot;002B2376&quot;/&gt;&lt;wsp:rsid wsp:val=&quot;002C1CD6&quot;/&gt;&lt;wsp:rsid wsp:val=&quot;002C303F&quot;/&gt;&lt;wsp:rsid wsp:val=&quot;002C6CC8&quot;/&gt;&lt;wsp:rsid wsp:val=&quot;002C78A8&quot;/&gt;&lt;wsp:rsid wsp:val=&quot;002C7C08&quot;/&gt;&lt;wsp:rsid wsp:val=&quot;002E0C7C&quot;/&gt;&lt;wsp:rsid wsp:val=&quot;002E4AE8&quot;/&gt;&lt;wsp:rsid wsp:val=&quot;002E5C56&quot;/&gt;&lt;wsp:rsid wsp:val=&quot;002E65E3&quot;/&gt;&lt;wsp:rsid wsp:val=&quot;002F0A6E&quot;/&gt;&lt;wsp:rsid wsp:val=&quot;002F0C4E&quot;/&gt;&lt;wsp:rsid wsp:val=&quot;002F4CEF&quot;/&gt;&lt;wsp:rsid wsp:val=&quot;002F53A0&quot;/&gt;&lt;wsp:rsid wsp:val=&quot;00301845&quot;/&gt;&lt;wsp:rsid wsp:val=&quot;00302DF9&quot;/&gt;&lt;wsp:rsid wsp:val=&quot;003103A6&quot;/&gt;&lt;wsp:rsid wsp:val=&quot;00312846&quot;/&gt;&lt;wsp:rsid wsp:val=&quot;0031511A&quot;/&gt;&lt;wsp:rsid wsp:val=&quot;003179C9&quot;/&gt;&lt;wsp:rsid wsp:val=&quot;00331895&quot;/&gt;&lt;wsp:rsid wsp:val=&quot;00332E05&quot;/&gt;&lt;wsp:rsid wsp:val=&quot;00333080&quot;/&gt;&lt;wsp:rsid wsp:val=&quot;003343C1&quot;/&gt;&lt;wsp:rsid wsp:val=&quot;00334452&quot;/&gt;&lt;wsp:rsid wsp:val=&quot;00335167&quot;/&gt;&lt;wsp:rsid wsp:val=&quot;0033592B&quot;/&gt;&lt;wsp:rsid wsp:val=&quot;00336004&quot;/&gt;&lt;wsp:rsid wsp:val=&quot;003361EA&quot;/&gt;&lt;wsp:rsid wsp:val=&quot;00340EAE&quot;/&gt;&lt;wsp:rsid wsp:val=&quot;00342966&quot;/&gt;&lt;wsp:rsid wsp:val=&quot;00342FC9&quot;/&gt;&lt;wsp:rsid wsp:val=&quot;00351322&quot;/&gt;&lt;wsp:rsid wsp:val=&quot;00351823&quot;/&gt;&lt;wsp:rsid wsp:val=&quot;003536EF&quot;/&gt;&lt;wsp:rsid wsp:val=&quot;00353D31&quot;/&gt;&lt;wsp:rsid wsp:val=&quot;003545FE&quot;/&gt;&lt;wsp:rsid wsp:val=&quot;003556F2&quot;/&gt;&lt;wsp:rsid wsp:val=&quot;00355810&quot;/&gt;&lt;wsp:rsid wsp:val=&quot;00363394&quot;/&gt;&lt;wsp:rsid wsp:val=&quot;00367CAB&quot;/&gt;&lt;wsp:rsid wsp:val=&quot;00372EBF&quot;/&gt;&lt;wsp:rsid wsp:val=&quot;00372F6D&quot;/&gt;&lt;wsp:rsid wsp:val=&quot;00376807&quot;/&gt;&lt;wsp:rsid wsp:val=&quot;00382B7D&quot;/&gt;&lt;wsp:rsid wsp:val=&quot;003850B9&quot;/&gt;&lt;wsp:rsid wsp:val=&quot;00385630&quot;/&gt;&lt;wsp:rsid wsp:val=&quot;00385CE5&quot;/&gt;&lt;wsp:rsid wsp:val=&quot;00386E29&quot;/&gt;&lt;wsp:rsid wsp:val=&quot;00387FD1&quot;/&gt;&lt;wsp:rsid wsp:val=&quot;0039406D&quot;/&gt;&lt;wsp:rsid wsp:val=&quot;0039516D&quot;/&gt;&lt;wsp:rsid wsp:val=&quot;0039748D&quot;/&gt;&lt;wsp:rsid wsp:val=&quot;003A07CB&quot;/&gt;&lt;wsp:rsid wsp:val=&quot;003A311C&quot;/&gt;&lt;wsp:rsid wsp:val=&quot;003A3F99&quot;/&gt;&lt;wsp:rsid wsp:val=&quot;003B5982&quot;/&gt;&lt;wsp:rsid wsp:val=&quot;003B6230&quot;/&gt;&lt;wsp:rsid wsp:val=&quot;003D0C72&quot;/&gt;&lt;wsp:rsid wsp:val=&quot;003D13BD&quot;/&gt;&lt;wsp:rsid wsp:val=&quot;003D2E9E&quot;/&gt;&lt;wsp:rsid wsp:val=&quot;003D4F08&quot;/&gt;&lt;wsp:rsid wsp:val=&quot;003E2F62&quot;/&gt;&lt;wsp:rsid wsp:val=&quot;003E3D09&quot;/&gt;&lt;wsp:rsid wsp:val=&quot;003E4A66&quot;/&gt;&lt;wsp:rsid wsp:val=&quot;003E52B1&quot;/&gt;&lt;wsp:rsid wsp:val=&quot;003F2B27&quot;/&gt;&lt;wsp:rsid wsp:val=&quot;003F33C6&quot;/&gt;&lt;wsp:rsid wsp:val=&quot;0040008D&quot;/&gt;&lt;wsp:rsid wsp:val=&quot;00404C7C&quot;/&gt;&lt;wsp:rsid wsp:val=&quot;00405350&quot;/&gt;&lt;wsp:rsid wsp:val=&quot;00410DC5&quot;/&gt;&lt;wsp:rsid wsp:val=&quot;00413391&quot;/&gt;&lt;wsp:rsid wsp:val=&quot;00413C76&quot;/&gt;&lt;wsp:rsid wsp:val=&quot;00420463&quot;/&gt;&lt;wsp:rsid wsp:val=&quot;0042129E&quot;/&gt;&lt;wsp:rsid wsp:val=&quot;00426C55&quot;/&gt;&lt;wsp:rsid wsp:val=&quot;00431BC8&quot;/&gt;&lt;wsp:rsid wsp:val=&quot;00436DB2&quot;/&gt;&lt;wsp:rsid wsp:val=&quot;004404AA&quot;/&gt;&lt;wsp:rsid wsp:val=&quot;004404AB&quot;/&gt;&lt;wsp:rsid wsp:val=&quot;00440FBD&quot;/&gt;&lt;wsp:rsid wsp:val=&quot;00444CEE&quot;/&gt;&lt;wsp:rsid wsp:val=&quot;00450267&quot;/&gt;&lt;wsp:rsid wsp:val=&quot;00450879&quot;/&gt;&lt;wsp:rsid wsp:val=&quot;0045679A&quot;/&gt;&lt;wsp:rsid wsp:val=&quot;00457190&quot;/&gt;&lt;wsp:rsid wsp:val=&quot;00457BC3&quot;/&gt;&lt;wsp:rsid wsp:val=&quot;0046102C&quot;/&gt;&lt;wsp:rsid wsp:val=&quot;0046491A&quot;/&gt;&lt;wsp:rsid wsp:val=&quot;004654AB&quot;/&gt;&lt;wsp:rsid wsp:val=&quot;00467041&quot;/&gt;&lt;wsp:rsid wsp:val=&quot;00472410&quot;/&gt;&lt;wsp:rsid wsp:val=&quot;00476AF6&quot;/&gt;&lt;wsp:rsid wsp:val=&quot;0048392E&quot;/&gt;&lt;wsp:rsid wsp:val=&quot;004847E1&quot;/&gt;&lt;wsp:rsid wsp:val=&quot;00486883&quot;/&gt;&lt;wsp:rsid wsp:val=&quot;004929DA&quot;/&gt;&lt;wsp:rsid wsp:val=&quot;004A1B53&quot;/&gt;&lt;wsp:rsid wsp:val=&quot;004A3CBB&quot;/&gt;&lt;wsp:rsid wsp:val=&quot;004A6435&quot;/&gt;&lt;wsp:rsid wsp:val=&quot;004B0DF7&quot;/&gt;&lt;wsp:rsid wsp:val=&quot;004C0441&quot;/&gt;&lt;wsp:rsid wsp:val=&quot;004C55CA&quot;/&gt;&lt;wsp:rsid wsp:val=&quot;004C637F&quot;/&gt;&lt;wsp:rsid wsp:val=&quot;004C6E42&quot;/&gt;&lt;wsp:rsid wsp:val=&quot;004C772B&quot;/&gt;&lt;wsp:rsid wsp:val=&quot;004D1A02&quot;/&gt;&lt;wsp:rsid wsp:val=&quot;004E39D3&quot;/&gt;&lt;wsp:rsid wsp:val=&quot;004E5E51&quot;/&gt;&lt;wsp:rsid wsp:val=&quot;004E7B06&quot;/&gt;&lt;wsp:rsid wsp:val=&quot;004F0FD4&quot;/&gt;&lt;wsp:rsid wsp:val=&quot;004F3A4F&quot;/&gt;&lt;wsp:rsid wsp:val=&quot;004F4EE5&quot;/&gt;&lt;wsp:rsid wsp:val=&quot;004F5AE5&quot;/&gt;&lt;wsp:rsid wsp:val=&quot;004F638B&quot;/&gt;&lt;wsp:rsid wsp:val=&quot;004F6EA9&quot;/&gt;&lt;wsp:rsid wsp:val=&quot;005039BB&quot;/&gt;&lt;wsp:rsid wsp:val=&quot;005043C8&quot;/&gt;&lt;wsp:rsid wsp:val=&quot;00505F54&quot;/&gt;&lt;wsp:rsid wsp:val=&quot;00507176&quot;/&gt;&lt;wsp:rsid wsp:val=&quot;005109C6&quot;/&gt;&lt;wsp:rsid wsp:val=&quot;00514D07&quot;/&gt;&lt;wsp:rsid wsp:val=&quot;00515C88&quot;/&gt;&lt;wsp:rsid wsp:val=&quot;0051660A&quot;/&gt;&lt;wsp:rsid wsp:val=&quot;005168EC&quot;/&gt;&lt;wsp:rsid wsp:val=&quot;00521C0A&quot;/&gt;&lt;wsp:rsid wsp:val=&quot;005238E7&quot;/&gt;&lt;wsp:rsid wsp:val=&quot;005275C3&quot;/&gt;&lt;wsp:rsid wsp:val=&quot;0053475D&quot;/&gt;&lt;wsp:rsid wsp:val=&quot;00535FBB&quot;/&gt;&lt;wsp:rsid wsp:val=&quot;00540C57&quot;/&gt;&lt;wsp:rsid wsp:val=&quot;005410A0&quot;/&gt;&lt;wsp:rsid wsp:val=&quot;00541711&quot;/&gt;&lt;wsp:rsid wsp:val=&quot;0054364F&quot;/&gt;&lt;wsp:rsid wsp:val=&quot;0054398F&quot;/&gt;&lt;wsp:rsid wsp:val=&quot;0054596B&quot;/&gt;&lt;wsp:rsid wsp:val=&quot;00547DF9&quot;/&gt;&lt;wsp:rsid wsp:val=&quot;005546C8&quot;/&gt;&lt;wsp:rsid wsp:val=&quot;005560C4&quot;/&gt;&lt;wsp:rsid wsp:val=&quot;00560016&quot;/&gt;&lt;wsp:rsid wsp:val=&quot;005619AD&quot;/&gt;&lt;wsp:rsid wsp:val=&quot;0056358E&quot;/&gt;&lt;wsp:rsid wsp:val=&quot;00565DFD&quot;/&gt;&lt;wsp:rsid wsp:val=&quot;00566421&quot;/&gt;&lt;wsp:rsid wsp:val=&quot;005803A1&quot;/&gt;&lt;wsp:rsid wsp:val=&quot;00583016&quot;/&gt;&lt;wsp:rsid wsp:val=&quot;00587CE7&quot;/&gt;&lt;wsp:rsid wsp:val=&quot;00592532&quot;/&gt;&lt;wsp:rsid wsp:val=&quot;005A27F3&quot;/&gt;&lt;wsp:rsid wsp:val=&quot;005A3711&quot;/&gt;&lt;wsp:rsid wsp:val=&quot;005A3C9B&quot;/&gt;&lt;wsp:rsid wsp:val=&quot;005A40AD&quot;/&gt;&lt;wsp:rsid wsp:val=&quot;005A58DD&quot;/&gt;&lt;wsp:rsid wsp:val=&quot;005A7636&quot;/&gt;&lt;wsp:rsid wsp:val=&quot;005A770A&quot;/&gt;&lt;wsp:rsid wsp:val=&quot;005B2201&quot;/&gt;&lt;wsp:rsid wsp:val=&quot;005B429F&quot;/&gt;&lt;wsp:rsid wsp:val=&quot;005B46D0&quot;/&gt;&lt;wsp:rsid wsp:val=&quot;005B78EE&quot;/&gt;&lt;wsp:rsid wsp:val=&quot;005C2FF7&quot;/&gt;&lt;wsp:rsid wsp:val=&quot;005C4AEE&quot;/&gt;&lt;wsp:rsid wsp:val=&quot;005D4244&quot;/&gt;&lt;wsp:rsid wsp:val=&quot;005E013B&quot;/&gt;&lt;wsp:rsid wsp:val=&quot;005E15B6&quot;/&gt;&lt;wsp:rsid wsp:val=&quot;005E16D9&quot;/&gt;&lt;wsp:rsid wsp:val=&quot;005E2FAD&quot;/&gt;&lt;wsp:rsid wsp:val=&quot;005F02B3&quot;/&gt;&lt;wsp:rsid wsp:val=&quot;005F48A6&quot;/&gt;&lt;wsp:rsid wsp:val=&quot;005F4C9C&quot;/&gt;&lt;wsp:rsid wsp:val=&quot;005F674D&quot;/&gt;&lt;wsp:rsid wsp:val=&quot;005F706C&quot;/&gt;&lt;wsp:rsid wsp:val=&quot;00601D5F&quot;/&gt;&lt;wsp:rsid wsp:val=&quot;00602061&quot;/&gt;&lt;wsp:rsid wsp:val=&quot;00610B97&quot;/&gt;&lt;wsp:rsid wsp:val=&quot;0061278E&quot;/&gt;&lt;wsp:rsid wsp:val=&quot;006129C0&quot;/&gt;&lt;wsp:rsid wsp:val=&quot;006152E3&quot;/&gt;&lt;wsp:rsid wsp:val=&quot;00621EF9&quot;/&gt;&lt;wsp:rsid wsp:val=&quot;00622A54&quot;/&gt;&lt;wsp:rsid wsp:val=&quot;00623373&quot;/&gt;&lt;wsp:rsid wsp:val=&quot;00630238&quot;/&gt;&lt;wsp:rsid wsp:val=&quot;00633F73&quot;/&gt;&lt;wsp:rsid wsp:val=&quot;00634A44&quot;/&gt;&lt;wsp:rsid wsp:val=&quot;006359D2&quot;/&gt;&lt;wsp:rsid wsp:val=&quot;00645F0F&quot;/&gt;&lt;wsp:rsid wsp:val=&quot;00645F8B&quot;/&gt;&lt;wsp:rsid wsp:val=&quot;00646753&quot;/&gt;&lt;wsp:rsid wsp:val=&quot;00652662&quot;/&gt;&lt;wsp:rsid wsp:val=&quot;00652912&quot;/&gt;&lt;wsp:rsid wsp:val=&quot;00653AC7&quot;/&gt;&lt;wsp:rsid wsp:val=&quot;00655A1D&quot;/&gt;&lt;wsp:rsid wsp:val=&quot;006635CA&quot;/&gt;&lt;wsp:rsid wsp:val=&quot;006649AE&quot;/&gt;&lt;wsp:rsid wsp:val=&quot;00667AD7&quot;/&gt;&lt;wsp:rsid wsp:val=&quot;00671C2F&quot;/&gt;&lt;wsp:rsid wsp:val=&quot;00671C98&quot;/&gt;&lt;wsp:rsid wsp:val=&quot;006732D2&quot;/&gt;&lt;wsp:rsid wsp:val=&quot;00673FB7&quot;/&gt;&lt;wsp:rsid wsp:val=&quot;006754E2&quot;/&gt;&lt;wsp:rsid wsp:val=&quot;00676908&quot;/&gt;&lt;wsp:rsid wsp:val=&quot;00686375&quot;/&gt;&lt;wsp:rsid wsp:val=&quot;00694DF4&quot;/&gt;&lt;wsp:rsid wsp:val=&quot;00696904&quot;/&gt;&lt;wsp:rsid wsp:val=&quot;006A3ABD&quot;/&gt;&lt;wsp:rsid wsp:val=&quot;006A59E0&quot;/&gt;&lt;wsp:rsid wsp:val=&quot;006A5FAD&quot;/&gt;&lt;wsp:rsid wsp:val=&quot;006B017C&quot;/&gt;&lt;wsp:rsid wsp:val=&quot;006B3EEB&quot;/&gt;&lt;wsp:rsid wsp:val=&quot;006B4BD9&quot;/&gt;&lt;wsp:rsid wsp:val=&quot;006B6E86&quot;/&gt;&lt;wsp:rsid wsp:val=&quot;006C0BA5&quot;/&gt;&lt;wsp:rsid wsp:val=&quot;006C6CD1&quot;/&gt;&lt;wsp:rsid wsp:val=&quot;006D068F&quot;/&gt;&lt;wsp:rsid wsp:val=&quot;006D06F0&quot;/&gt;&lt;wsp:rsid wsp:val=&quot;006D3EA4&quot;/&gt;&lt;wsp:rsid wsp:val=&quot;006D4672&quot;/&gt;&lt;wsp:rsid wsp:val=&quot;006D7E3A&quot;/&gt;&lt;wsp:rsid wsp:val=&quot;006E0636&quot;/&gt;&lt;wsp:rsid wsp:val=&quot;006E0941&quot;/&gt;&lt;wsp:rsid wsp:val=&quot;006E1454&quot;/&gt;&lt;wsp:rsid wsp:val=&quot;006E2F9A&quot;/&gt;&lt;wsp:rsid wsp:val=&quot;006E3CD3&quot;/&gt;&lt;wsp:rsid wsp:val=&quot;006F077B&quot;/&gt;&lt;wsp:rsid wsp:val=&quot;006F4B61&quot;/&gt;&lt;wsp:rsid wsp:val=&quot;00704B42&quot;/&gt;&lt;wsp:rsid wsp:val=&quot;007061C1&quot;/&gt;&lt;wsp:rsid wsp:val=&quot;00711D78&quot;/&gt;&lt;wsp:rsid wsp:val=&quot;00721BE7&quot;/&gt;&lt;wsp:rsid wsp:val=&quot;00727738&quot;/&gt;&lt;wsp:rsid wsp:val=&quot;00727B3B&quot;/&gt;&lt;wsp:rsid wsp:val=&quot;007319DF&quot;/&gt;&lt;wsp:rsid wsp:val=&quot;007336E5&quot;/&gt;&lt;wsp:rsid wsp:val=&quot;00740177&quot;/&gt;&lt;wsp:rsid wsp:val=&quot;00741E5E&quot;/&gt;&lt;wsp:rsid wsp:val=&quot;00742072&quot;/&gt;&lt;wsp:rsid wsp:val=&quot;00743002&quot;/&gt;&lt;wsp:rsid wsp:val=&quot;00743838&quot;/&gt;&lt;wsp:rsid wsp:val=&quot;007552F4&quot;/&gt;&lt;wsp:rsid wsp:val=&quot;0076018E&quot;/&gt;&lt;wsp:rsid wsp:val=&quot;007604AD&quot;/&gt;&lt;wsp:rsid wsp:val=&quot;00760F74&quot;/&gt;&lt;wsp:rsid wsp:val=&quot;00762DD1&quot;/&gt;&lt;wsp:rsid wsp:val=&quot;007646A4&quot;/&gt;&lt;wsp:rsid wsp:val=&quot;007829D5&quot;/&gt;&lt;wsp:rsid wsp:val=&quot;00782C14&quot;/&gt;&lt;wsp:rsid wsp:val=&quot;00783280&quot;/&gt;&lt;wsp:rsid wsp:val=&quot;00784997&quot;/&gt;&lt;wsp:rsid wsp:val=&quot;00785A7E&quot;/&gt;&lt;wsp:rsid wsp:val=&quot;00786E74&quot;/&gt;&lt;wsp:rsid wsp:val=&quot;007903AF&quot;/&gt;&lt;wsp:rsid wsp:val=&quot;007903F1&quot;/&gt;&lt;wsp:rsid wsp:val=&quot;00793353&quot;/&gt;&lt;wsp:rsid wsp:val=&quot;00793CFE&quot;/&gt;&lt;wsp:rsid wsp:val=&quot;007945B7&quot;/&gt;&lt;wsp:rsid wsp:val=&quot;007A3BCB&quot;/&gt;&lt;wsp:rsid wsp:val=&quot;007A55EC&quot;/&gt;&lt;wsp:rsid wsp:val=&quot;007B05C4&quot;/&gt;&lt;wsp:rsid wsp:val=&quot;007B2AB5&quot;/&gt;&lt;wsp:rsid wsp:val=&quot;007B2C24&quot;/&gt;&lt;wsp:rsid wsp:val=&quot;007B619A&quot;/&gt;&lt;wsp:rsid wsp:val=&quot;007B6362&quot;/&gt;&lt;wsp:rsid wsp:val=&quot;007C3110&quot;/&gt;&lt;wsp:rsid wsp:val=&quot;007C37D0&quot;/&gt;&lt;wsp:rsid wsp:val=&quot;007C3BE0&quot;/&gt;&lt;wsp:rsid wsp:val=&quot;007C4BAC&quot;/&gt;&lt;wsp:rsid wsp:val=&quot;007D1A43&quot;/&gt;&lt;wsp:rsid wsp:val=&quot;007D1E7F&quot;/&gt;&lt;wsp:rsid wsp:val=&quot;007D29F2&quot;/&gt;&lt;wsp:rsid wsp:val=&quot;007D2ADD&quot;/&gt;&lt;wsp:rsid wsp:val=&quot;007E1D7F&quot;/&gt;&lt;wsp:rsid wsp:val=&quot;007E1D9C&quot;/&gt;&lt;wsp:rsid wsp:val=&quot;007E36C0&quot;/&gt;&lt;wsp:rsid wsp:val=&quot;007E5B16&quot;/&gt;&lt;wsp:rsid wsp:val=&quot;007E7D71&quot;/&gt;&lt;wsp:rsid wsp:val=&quot;007F3839&quot;/&gt;&lt;wsp:rsid wsp:val=&quot;007F53FC&quot;/&gt;&lt;wsp:rsid wsp:val=&quot;007F66C6&quot;/&gt;&lt;wsp:rsid wsp:val=&quot;007F6EB9&quot;/&gt;&lt;wsp:rsid wsp:val=&quot;007F7DFF&quot;/&gt;&lt;wsp:rsid wsp:val=&quot;008015EF&quot;/&gt;&lt;wsp:rsid wsp:val=&quot;00803F49&quot;/&gt;&lt;wsp:rsid wsp:val=&quot;00805461&quot;/&gt;&lt;wsp:rsid wsp:val=&quot;008077D6&quot;/&gt;&lt;wsp:rsid wsp:val=&quot;0081003F&quot;/&gt;&lt;wsp:rsid wsp:val=&quot;00816E92&quot;/&gt;&lt;wsp:rsid wsp:val=&quot;00817D29&quot;/&gt;&lt;wsp:rsid wsp:val=&quot;00817DFC&quot;/&gt;&lt;wsp:rsid wsp:val=&quot;008209BC&quot;/&gt;&lt;wsp:rsid wsp:val=&quot;00827ED9&quot;/&gt;&lt;wsp:rsid wsp:val=&quot;00830D95&quot;/&gt;&lt;wsp:rsid wsp:val=&quot;008313B1&quot;/&gt;&lt;wsp:rsid wsp:val=&quot;008406AF&quot;/&gt;&lt;wsp:rsid wsp:val=&quot;00843927&quot;/&gt;&lt;wsp:rsid wsp:val=&quot;008439D9&quot;/&gt;&lt;wsp:rsid wsp:val=&quot;008458E5&quot;/&gt;&lt;wsp:rsid wsp:val=&quot;008471A5&quot;/&gt;&lt;wsp:rsid wsp:val=&quot;008515E9&quot;/&gt;&lt;wsp:rsid wsp:val=&quot;00851B0E&quot;/&gt;&lt;wsp:rsid wsp:val=&quot;0085435E&quot;/&gt;&lt;wsp:rsid wsp:val=&quot;00855E86&quot;/&gt;&lt;wsp:rsid wsp:val=&quot;00861D27&quot;/&gt;&lt;wsp:rsid wsp:val=&quot;00862082&quot;/&gt;&lt;wsp:rsid wsp:val=&quot;0086669D&quot;/&gt;&lt;wsp:rsid wsp:val=&quot;00867DEC&quot;/&gt;&lt;wsp:rsid wsp:val=&quot;008773DD&quot;/&gt;&lt;wsp:rsid wsp:val=&quot;00877BC1&quot;/&gt;&lt;wsp:rsid wsp:val=&quot;00880233&quot;/&gt;&lt;wsp:rsid wsp:val=&quot;0088241F&quot;/&gt;&lt;wsp:rsid wsp:val=&quot;008835A9&quot;/&gt;&lt;wsp:rsid wsp:val=&quot;00883846&quot;/&gt;&lt;wsp:rsid wsp:val=&quot;00884781&quot;/&gt;&lt;wsp:rsid wsp:val=&quot;008952DC&quot;/&gt;&lt;wsp:rsid wsp:val=&quot;008A123E&quot;/&gt;&lt;wsp:rsid wsp:val=&quot;008A2F6A&quot;/&gt;&lt;wsp:rsid wsp:val=&quot;008A35E9&quot;/&gt;&lt;wsp:rsid wsp:val=&quot;008A4E78&quot;/&gt;&lt;wsp:rsid wsp:val=&quot;008B6514&quot;/&gt;&lt;wsp:rsid wsp:val=&quot;008C3260&quot;/&gt;&lt;wsp:rsid wsp:val=&quot;008D1AC8&quot;/&gt;&lt;wsp:rsid wsp:val=&quot;008D4689&quot;/&gt;&lt;wsp:rsid wsp:val=&quot;008D5770&quot;/&gt;&lt;wsp:rsid wsp:val=&quot;008D6505&quot;/&gt;&lt;wsp:rsid wsp:val=&quot;008D7A4A&quot;/&gt;&lt;wsp:rsid wsp:val=&quot;008E54F3&quot;/&gt;&lt;wsp:rsid wsp:val=&quot;008E586A&quot;/&gt;&lt;wsp:rsid wsp:val=&quot;008E5A25&quot;/&gt;&lt;wsp:rsid wsp:val=&quot;008E5BA4&quot;/&gt;&lt;wsp:rsid wsp:val=&quot;008E5BD6&quot;/&gt;&lt;wsp:rsid wsp:val=&quot;008E5E61&quot;/&gt;&lt;wsp:rsid wsp:val=&quot;008E772C&quot;/&gt;&lt;wsp:rsid wsp:val=&quot;008F23D1&quot;/&gt;&lt;wsp:rsid wsp:val=&quot;008F368F&quot;/&gt;&lt;wsp:rsid wsp:val=&quot;008F3BE8&quot;/&gt;&lt;wsp:rsid wsp:val=&quot;008F47C2&quot;/&gt;&lt;wsp:rsid wsp:val=&quot;008F5767&quot;/&gt;&lt;wsp:rsid wsp:val=&quot;00900606&quot;/&gt;&lt;wsp:rsid wsp:val=&quot;009017B4&quot;/&gt;&lt;wsp:rsid wsp:val=&quot;009055F9&quot;/&gt;&lt;wsp:rsid wsp:val=&quot;00905869&quot;/&gt;&lt;wsp:rsid wsp:val=&quot;009058B3&quot;/&gt;&lt;wsp:rsid wsp:val=&quot;0090755E&quot;/&gt;&lt;wsp:rsid wsp:val=&quot;009140FE&quot;/&gt;&lt;wsp:rsid wsp:val=&quot;009174F7&quot;/&gt;&lt;wsp:rsid wsp:val=&quot;00922B43&quot;/&gt;&lt;wsp:rsid wsp:val=&quot;00922F6B&quot;/&gt;&lt;wsp:rsid wsp:val=&quot;009258AC&quot;/&gt;&lt;wsp:rsid wsp:val=&quot;00925E43&quot;/&gt;&lt;wsp:rsid wsp:val=&quot;00927158&quot;/&gt;&lt;wsp:rsid wsp:val=&quot;00932CA7&quot;/&gt;&lt;wsp:rsid wsp:val=&quot;00933C70&quot;/&gt;&lt;wsp:rsid wsp:val=&quot;0093674C&quot;/&gt;&lt;wsp:rsid wsp:val=&quot;009367E1&quot;/&gt;&lt;wsp:rsid wsp:val=&quot;00937F6D&quot;/&gt;&lt;wsp:rsid wsp:val=&quot;009439CB&quot;/&gt;&lt;wsp:rsid wsp:val=&quot;009449B5&quot;/&gt;&lt;wsp:rsid wsp:val=&quot;00945F91&quot;/&gt;&lt;wsp:rsid wsp:val=&quot;009464B2&quot;/&gt;&lt;wsp:rsid wsp:val=&quot;00950D19&quot;/&gt;&lt;wsp:rsid wsp:val=&quot;009520C8&quot;/&gt;&lt;wsp:rsid wsp:val=&quot;009525FD&quot;/&gt;&lt;wsp:rsid wsp:val=&quot;009529C3&quot;/&gt;&lt;wsp:rsid wsp:val=&quot;00952BFA&quot;/&gt;&lt;wsp:rsid wsp:val=&quot;00956CB4&quot;/&gt;&lt;wsp:rsid wsp:val=&quot;00957049&quot;/&gt;&lt;wsp:rsid wsp:val=&quot;00957645&quot;/&gt;&lt;wsp:rsid wsp:val=&quot;0096129B&quot;/&gt;&lt;wsp:rsid wsp:val=&quot;00961944&quot;/&gt;&lt;wsp:rsid wsp:val=&quot;00961BE8&quot;/&gt;&lt;wsp:rsid wsp:val=&quot;00962A3E&quot;/&gt;&lt;wsp:rsid wsp:val=&quot;009669BA&quot;/&gt;&lt;wsp:rsid wsp:val=&quot;009713DF&quot;/&gt;&lt;wsp:rsid wsp:val=&quot;00977033&quot;/&gt;&lt;wsp:rsid wsp:val=&quot;00977EEF&quot;/&gt;&lt;wsp:rsid wsp:val=&quot;00981BDC&quot;/&gt;&lt;wsp:rsid wsp:val=&quot;00982B2E&quot;/&gt;&lt;wsp:rsid wsp:val=&quot;00984FD7&quot;/&gt;&lt;wsp:rsid wsp:val=&quot;00985E02&quot;/&gt;&lt;wsp:rsid wsp:val=&quot;00995B44&quot;/&gt;&lt;wsp:rsid wsp:val=&quot;009A1A84&quot;/&gt;&lt;wsp:rsid wsp:val=&quot;009A1E5F&quot;/&gt;&lt;wsp:rsid wsp:val=&quot;009A3FF9&quot;/&gt;&lt;wsp:rsid wsp:val=&quot;009A694F&quot;/&gt;&lt;wsp:rsid wsp:val=&quot;009A6CA8&quot;/&gt;&lt;wsp:rsid wsp:val=&quot;009B39D5&quot;/&gt;&lt;wsp:rsid wsp:val=&quot;009B3C83&quot;/&gt;&lt;wsp:rsid wsp:val=&quot;009B4F68&quot;/&gt;&lt;wsp:rsid wsp:val=&quot;009B504E&quot;/&gt;&lt;wsp:rsid wsp:val=&quot;009B6DAD&quot;/&gt;&lt;wsp:rsid wsp:val=&quot;009B7BA5&quot;/&gt;&lt;wsp:rsid wsp:val=&quot;009B7D5C&quot;/&gt;&lt;wsp:rsid wsp:val=&quot;009C29F1&quot;/&gt;&lt;wsp:rsid wsp:val=&quot;009C60F4&quot;/&gt;&lt;wsp:rsid wsp:val=&quot;009D0520&quot;/&gt;&lt;wsp:rsid wsp:val=&quot;009D3153&quot;/&gt;&lt;wsp:rsid wsp:val=&quot;009D74B3&quot;/&gt;&lt;wsp:rsid wsp:val=&quot;009E13EC&quot;/&gt;&lt;wsp:rsid wsp:val=&quot;009E1B98&quot;/&gt;&lt;wsp:rsid wsp:val=&quot;009F3DB2&quot;/&gt;&lt;wsp:rsid wsp:val=&quot;009F7506&quot;/&gt;&lt;wsp:rsid wsp:val=&quot;009F7B73&quot;/&gt;&lt;wsp:rsid wsp:val=&quot;00A04693&quot;/&gt;&lt;wsp:rsid wsp:val=&quot;00A110A9&quot;/&gt;&lt;wsp:rsid wsp:val=&quot;00A15FA0&quot;/&gt;&lt;wsp:rsid wsp:val=&quot;00A177E9&quot;/&gt;&lt;wsp:rsid wsp:val=&quot;00A17EC0&quot;/&gt;&lt;wsp:rsid wsp:val=&quot;00A24BE6&quot;/&gt;&lt;wsp:rsid wsp:val=&quot;00A37B7A&quot;/&gt;&lt;wsp:rsid wsp:val=&quot;00A423B6&quot;/&gt;&lt;wsp:rsid wsp:val=&quot;00A43AC4&quot;/&gt;&lt;wsp:rsid wsp:val=&quot;00A44770&quot;/&gt;&lt;wsp:rsid wsp:val=&quot;00A45B21&quot;/&gt;&lt;wsp:rsid wsp:val=&quot;00A5092C&quot;/&gt;&lt;wsp:rsid wsp:val=&quot;00A50F35&quot;/&gt;&lt;wsp:rsid wsp:val=&quot;00A51F8D&quot;/&gt;&lt;wsp:rsid wsp:val=&quot;00A52376&quot;/&gt;&lt;wsp:rsid wsp:val=&quot;00A5391A&quot;/&gt;&lt;wsp:rsid wsp:val=&quot;00A62503&quot;/&gt;&lt;wsp:rsid wsp:val=&quot;00A7368C&quot;/&gt;&lt;wsp:rsid wsp:val=&quot;00A779AB&quot;/&gt;&lt;wsp:rsid wsp:val=&quot;00A82D5C&quot;/&gt;&lt;wsp:rsid wsp:val=&quot;00A910A5&quot;/&gt;&lt;wsp:rsid wsp:val=&quot;00A931ED&quot;/&gt;&lt;wsp:rsid wsp:val=&quot;00AA07AA&quot;/&gt;&lt;wsp:rsid wsp:val=&quot;00AA41AF&quot;/&gt;&lt;wsp:rsid wsp:val=&quot;00AA4489&quot;/&gt;&lt;wsp:rsid wsp:val=&quot;00AB1E63&quot;/&gt;&lt;wsp:rsid wsp:val=&quot;00AC2800&quot;/&gt;&lt;wsp:rsid wsp:val=&quot;00AC40C7&quot;/&gt;&lt;wsp:rsid wsp:val=&quot;00AC6656&quot;/&gt;&lt;wsp:rsid wsp:val=&quot;00AD4834&quot;/&gt;&lt;wsp:rsid wsp:val=&quot;00AD5E81&quot;/&gt;&lt;wsp:rsid wsp:val=&quot;00AD6CAE&quot;/&gt;&lt;wsp:rsid wsp:val=&quot;00AD7E74&quot;/&gt;&lt;wsp:rsid wsp:val=&quot;00AE3492&quot;/&gt;&lt;wsp:rsid wsp:val=&quot;00AF4BD4&quot;/&gt;&lt;wsp:rsid wsp:val=&quot;00AF61CD&quot;/&gt;&lt;wsp:rsid wsp:val=&quot;00B0093D&quot;/&gt;&lt;wsp:rsid wsp:val=&quot;00B0186A&quot;/&gt;&lt;wsp:rsid wsp:val=&quot;00B03B06&quot;/&gt;&lt;wsp:rsid wsp:val=&quot;00B10A83&quot;/&gt;&lt;wsp:rsid wsp:val=&quot;00B1105F&quot;/&gt;&lt;wsp:rsid wsp:val=&quot;00B11684&quot;/&gt;&lt;wsp:rsid wsp:val=&quot;00B12C57&quot;/&gt;&lt;wsp:rsid wsp:val=&quot;00B1331A&quot;/&gt;&lt;wsp:rsid wsp:val=&quot;00B14B4B&quot;/&gt;&lt;wsp:rsid wsp:val=&quot;00B15DF3&quot;/&gt;&lt;wsp:rsid wsp:val=&quot;00B2060C&quot;/&gt;&lt;wsp:rsid wsp:val=&quot;00B2064D&quot;/&gt;&lt;wsp:rsid wsp:val=&quot;00B25571&quot;/&gt;&lt;wsp:rsid wsp:val=&quot;00B274AB&quot;/&gt;&lt;wsp:rsid wsp:val=&quot;00B2776F&quot;/&gt;&lt;wsp:rsid wsp:val=&quot;00B27CA4&quot;/&gt;&lt;wsp:rsid wsp:val=&quot;00B31BC3&quot;/&gt;&lt;wsp:rsid wsp:val=&quot;00B31FE7&quot;/&gt;&lt;wsp:rsid wsp:val=&quot;00B323EC&quot;/&gt;&lt;wsp:rsid wsp:val=&quot;00B40D81&quot;/&gt;&lt;wsp:rsid wsp:val=&quot;00B41D09&quot;/&gt;&lt;wsp:rsid wsp:val=&quot;00B44258&quot;/&gt;&lt;wsp:rsid wsp:val=&quot;00B46168&quot;/&gt;&lt;wsp:rsid wsp:val=&quot;00B46CFF&quot;/&gt;&lt;wsp:rsid wsp:val=&quot;00B519AA&quot;/&gt;&lt;wsp:rsid wsp:val=&quot;00B51CF5&quot;/&gt;&lt;wsp:rsid wsp:val=&quot;00B5319A&quot;/&gt;&lt;wsp:rsid wsp:val=&quot;00B53C46&quot;/&gt;&lt;wsp:rsid wsp:val=&quot;00B54BAB&quot;/&gt;&lt;wsp:rsid wsp:val=&quot;00B55F66&quot;/&gt;&lt;wsp:rsid wsp:val=&quot;00B615B4&quot;/&gt;&lt;wsp:rsid wsp:val=&quot;00B642B6&quot;/&gt;&lt;wsp:rsid wsp:val=&quot;00B650C1&quot;/&gt;&lt;wsp:rsid wsp:val=&quot;00B705A0&quot;/&gt;&lt;wsp:rsid wsp:val=&quot;00B76F94&quot;/&gt;&lt;wsp:rsid wsp:val=&quot;00B7703F&quot;/&gt;&lt;wsp:rsid wsp:val=&quot;00B815FD&quot;/&gt;&lt;wsp:rsid wsp:val=&quot;00B83A58&quot;/&gt;&lt;wsp:rsid wsp:val=&quot;00B8498C&quot;/&gt;&lt;wsp:rsid wsp:val=&quot;00B919F0&quot;/&gt;&lt;wsp:rsid wsp:val=&quot;00B92A6C&quot;/&gt;&lt;wsp:rsid wsp:val=&quot;00B93555&quot;/&gt;&lt;wsp:rsid wsp:val=&quot;00B94416&quot;/&gt;&lt;wsp:rsid wsp:val=&quot;00B94E36&quot;/&gt;&lt;wsp:rsid wsp:val=&quot;00B95302&quot;/&gt;&lt;wsp:rsid wsp:val=&quot;00B95AD3&quot;/&gt;&lt;wsp:rsid wsp:val=&quot;00BA2FA1&quot;/&gt;&lt;wsp:rsid wsp:val=&quot;00BB1CF3&quot;/&gt;&lt;wsp:rsid wsp:val=&quot;00BC2F82&quot;/&gt;&lt;wsp:rsid wsp:val=&quot;00BC468F&quot;/&gt;&lt;wsp:rsid wsp:val=&quot;00BC4CCB&quot;/&gt;&lt;wsp:rsid wsp:val=&quot;00BD12D7&quot;/&gt;&lt;wsp:rsid wsp:val=&quot;00BD397D&quot;/&gt;&lt;wsp:rsid wsp:val=&quot;00BD52DE&quot;/&gt;&lt;wsp:rsid wsp:val=&quot;00BE06FC&quot;/&gt;&lt;wsp:rsid wsp:val=&quot;00BE1421&quot;/&gt;&lt;wsp:rsid wsp:val=&quot;00BE78F2&quot;/&gt;&lt;wsp:rsid wsp:val=&quot;00BF1028&quot;/&gt;&lt;wsp:rsid wsp:val=&quot;00C00065&quot;/&gt;&lt;wsp:rsid wsp:val=&quot;00C0113E&quot;/&gt;&lt;wsp:rsid wsp:val=&quot;00C03E8E&quot;/&gt;&lt;wsp:rsid wsp:val=&quot;00C0486F&quot;/&gt;&lt;wsp:rsid wsp:val=&quot;00C1045C&quot;/&gt;&lt;wsp:rsid wsp:val=&quot;00C14F89&quot;/&gt;&lt;wsp:rsid wsp:val=&quot;00C2296F&quot;/&gt;&lt;wsp:rsid wsp:val=&quot;00C22D95&quot;/&gt;&lt;wsp:rsid wsp:val=&quot;00C2634B&quot;/&gt;&lt;wsp:rsid wsp:val=&quot;00C26C57&quot;/&gt;&lt;wsp:rsid wsp:val=&quot;00C34E92&quot;/&gt;&lt;wsp:rsid wsp:val=&quot;00C35F12&quot;/&gt;&lt;wsp:rsid wsp:val=&quot;00C365F0&quot;/&gt;&lt;wsp:rsid wsp:val=&quot;00C37C66&quot;/&gt;&lt;wsp:rsid wsp:val=&quot;00C37CEB&quot;/&gt;&lt;wsp:rsid wsp:val=&quot;00C43ACE&quot;/&gt;&lt;wsp:rsid wsp:val=&quot;00C5072B&quot;/&gt;&lt;wsp:rsid wsp:val=&quot;00C51637&quot;/&gt;&lt;wsp:rsid wsp:val=&quot;00C549AC&quot;/&gt;&lt;wsp:rsid wsp:val=&quot;00C54D69&quot;/&gt;&lt;wsp:rsid wsp:val=&quot;00C7283C&quot;/&gt;&lt;wsp:rsid wsp:val=&quot;00C72F12&quot;/&gt;&lt;wsp:rsid wsp:val=&quot;00C765C6&quot;/&gt;&lt;wsp:rsid wsp:val=&quot;00C8088F&quot;/&gt;&lt;wsp:rsid wsp:val=&quot;00C80F1B&quot;/&gt;&lt;wsp:rsid wsp:val=&quot;00C85319&quot;/&gt;&lt;wsp:rsid wsp:val=&quot;00C944B2&quot;/&gt;&lt;wsp:rsid wsp:val=&quot;00CB0F93&quot;/&gt;&lt;wsp:rsid wsp:val=&quot;00CB5388&quot;/&gt;&lt;wsp:rsid wsp:val=&quot;00CB7384&quot;/&gt;&lt;wsp:rsid wsp:val=&quot;00CC0A9A&quot;/&gt;&lt;wsp:rsid wsp:val=&quot;00CC0ADB&quot;/&gt;&lt;wsp:rsid wsp:val=&quot;00CC0DD3&quot;/&gt;&lt;wsp:rsid wsp:val=&quot;00CC1704&quot;/&gt;&lt;wsp:rsid wsp:val=&quot;00CC1B5C&quot;/&gt;&lt;wsp:rsid wsp:val=&quot;00CC27D9&quot;/&gt;&lt;wsp:rsid wsp:val=&quot;00CC4B36&quot;/&gt;&lt;wsp:rsid wsp:val=&quot;00CC6958&quot;/&gt;&lt;wsp:rsid wsp:val=&quot;00CD0A9A&quot;/&gt;&lt;wsp:rsid wsp:val=&quot;00CD25B9&quot;/&gt;&lt;wsp:rsid wsp:val=&quot;00CD6C50&quot;/&gt;&lt;wsp:rsid wsp:val=&quot;00CE45D0&quot;/&gt;&lt;wsp:rsid wsp:val=&quot;00CF2502&quot;/&gt;&lt;wsp:rsid wsp:val=&quot;00CF4475&quot;/&gt;&lt;wsp:rsid wsp:val=&quot;00CF47D9&quot;/&gt;&lt;wsp:rsid wsp:val=&quot;00CF4ED7&quot;/&gt;&lt;wsp:rsid wsp:val=&quot;00CF5BA1&quot;/&gt;&lt;wsp:rsid wsp:val=&quot;00D0061F&quot;/&gt;&lt;wsp:rsid wsp:val=&quot;00D05F5E&quot;/&gt;&lt;wsp:rsid wsp:val=&quot;00D07D0D&quot;/&gt;&lt;wsp:rsid wsp:val=&quot;00D251FA&quot;/&gt;&lt;wsp:rsid wsp:val=&quot;00D25A7F&quot;/&gt;&lt;wsp:rsid wsp:val=&quot;00D26C0A&quot;/&gt;&lt;wsp:rsid wsp:val=&quot;00D26C1C&quot;/&gt;&lt;wsp:rsid wsp:val=&quot;00D30B53&quot;/&gt;&lt;wsp:rsid wsp:val=&quot;00D3699F&quot;/&gt;&lt;wsp:rsid wsp:val=&quot;00D37027&quot;/&gt;&lt;wsp:rsid wsp:val=&quot;00D423F3&quot;/&gt;&lt;wsp:rsid wsp:val=&quot;00D4467C&quot;/&gt;&lt;wsp:rsid wsp:val=&quot;00D459DF&quot;/&gt;&lt;wsp:rsid wsp:val=&quot;00D45BD9&quot;/&gt;&lt;wsp:rsid wsp:val=&quot;00D507D4&quot;/&gt;&lt;wsp:rsid wsp:val=&quot;00D54C8F&quot;/&gt;&lt;wsp:rsid wsp:val=&quot;00D55C7D&quot;/&gt;&lt;wsp:rsid wsp:val=&quot;00D61286&quot;/&gt;&lt;wsp:rsid wsp:val=&quot;00D6218B&quot;/&gt;&lt;wsp:rsid wsp:val=&quot;00D62798&quot;/&gt;&lt;wsp:rsid wsp:val=&quot;00D75A97&quot;/&gt;&lt;wsp:rsid wsp:val=&quot;00D76429&quot;/&gt;&lt;wsp:rsid wsp:val=&quot;00D80E2E&quot;/&gt;&lt;wsp:rsid wsp:val=&quot;00D83EEC&quot;/&gt;&lt;wsp:rsid wsp:val=&quot;00D8575D&quot;/&gt;&lt;wsp:rsid wsp:val=&quot;00D90394&quot;/&gt;&lt;wsp:rsid wsp:val=&quot;00D907BE&quot;/&gt;&lt;wsp:rsid wsp:val=&quot;00D919E2&quot;/&gt;&lt;wsp:rsid wsp:val=&quot;00D95193&quot;/&gt;&lt;wsp:rsid wsp:val=&quot;00D9522D&quot;/&gt;&lt;wsp:rsid wsp:val=&quot;00D952E5&quot;/&gt;&lt;wsp:rsid wsp:val=&quot;00D95302&quot;/&gt;&lt;wsp:rsid wsp:val=&quot;00D976F3&quot;/&gt;&lt;wsp:rsid wsp:val=&quot;00DA2C5D&quot;/&gt;&lt;wsp:rsid wsp:val=&quot;00DA6176&quot;/&gt;&lt;wsp:rsid wsp:val=&quot;00DB1972&quot;/&gt;&lt;wsp:rsid wsp:val=&quot;00DB3EDE&quot;/&gt;&lt;wsp:rsid wsp:val=&quot;00DB4398&quot;/&gt;&lt;wsp:rsid wsp:val=&quot;00DB5FBC&quot;/&gt;&lt;wsp:rsid wsp:val=&quot;00DC297B&quot;/&gt;&lt;wsp:rsid wsp:val=&quot;00DC58F3&quot;/&gt;&lt;wsp:rsid wsp:val=&quot;00DD6857&quot;/&gt;&lt;wsp:rsid wsp:val=&quot;00DE1821&quot;/&gt;&lt;wsp:rsid wsp:val=&quot;00DE561D&quot;/&gt;&lt;wsp:rsid wsp:val=&quot;00DF13D2&quot;/&gt;&lt;wsp:rsid wsp:val=&quot;00DF2384&quot;/&gt;&lt;wsp:rsid wsp:val=&quot;00DF4DC9&quot;/&gt;&lt;wsp:rsid wsp:val=&quot;00DF7855&quot;/&gt;&lt;wsp:rsid wsp:val=&quot;00E03CE4&quot;/&gt;&lt;wsp:rsid wsp:val=&quot;00E073FB&quot;/&gt;&lt;wsp:rsid wsp:val=&quot;00E0778A&quot;/&gt;&lt;wsp:rsid wsp:val=&quot;00E10969&quot;/&gt;&lt;wsp:rsid wsp:val=&quot;00E1339E&quot;/&gt;&lt;wsp:rsid wsp:val=&quot;00E13A56&quot;/&gt;&lt;wsp:rsid wsp:val=&quot;00E15243&quot;/&gt;&lt;wsp:rsid wsp:val=&quot;00E155A3&quot;/&gt;&lt;wsp:rsid wsp:val=&quot;00E159E4&quot;/&gt;&lt;wsp:rsid wsp:val=&quot;00E305D7&quot;/&gt;&lt;wsp:rsid wsp:val=&quot;00E30DE9&quot;/&gt;&lt;wsp:rsid wsp:val=&quot;00E32A7C&quot;/&gt;&lt;wsp:rsid wsp:val=&quot;00E4297E&quot;/&gt;&lt;wsp:rsid wsp:val=&quot;00E43D55&quot;/&gt;&lt;wsp:rsid wsp:val=&quot;00E5191E&quot;/&gt;&lt;wsp:rsid wsp:val=&quot;00E55A17&quot;/&gt;&lt;wsp:rsid wsp:val=&quot;00E57B56&quot;/&gt;&lt;wsp:rsid wsp:val=&quot;00E611DD&quot;/&gt;&lt;wsp:rsid wsp:val=&quot;00E67203&quot;/&gt;&lt;wsp:rsid wsp:val=&quot;00E6758C&quot;/&gt;&lt;wsp:rsid wsp:val=&quot;00E675E9&quot;/&gt;&lt;wsp:rsid wsp:val=&quot;00E75B97&quot;/&gt;&lt;wsp:rsid wsp:val=&quot;00E8243C&quot;/&gt;&lt;wsp:rsid wsp:val=&quot;00E90B80&quot;/&gt;&lt;wsp:rsid wsp:val=&quot;00E945ED&quot;/&gt;&lt;wsp:rsid wsp:val=&quot;00E950E6&quot;/&gt;&lt;wsp:rsid wsp:val=&quot;00EA02B0&quot;/&gt;&lt;wsp:rsid wsp:val=&quot;00EA113C&quot;/&gt;&lt;wsp:rsid wsp:val=&quot;00EA2949&quot;/&gt;&lt;wsp:rsid wsp:val=&quot;00EB3ECA&quot;/&gt;&lt;wsp:rsid wsp:val=&quot;00EB46EC&quot;/&gt;&lt;wsp:rsid wsp:val=&quot;00EB5DEC&quot;/&gt;&lt;wsp:rsid wsp:val=&quot;00EC05EC&quot;/&gt;&lt;wsp:rsid wsp:val=&quot;00EC51B9&quot;/&gt;&lt;wsp:rsid wsp:val=&quot;00EC767B&quot;/&gt;&lt;wsp:rsid wsp:val=&quot;00EC7ED8&quot;/&gt;&lt;wsp:rsid wsp:val=&quot;00ED0B00&quot;/&gt;&lt;wsp:rsid wsp:val=&quot;00ED13E0&quot;/&gt;&lt;wsp:rsid wsp:val=&quot;00ED5181&quot;/&gt;&lt;wsp:rsid wsp:val=&quot;00ED5998&quot;/&gt;&lt;wsp:rsid wsp:val=&quot;00ED612C&quot;/&gt;&lt;wsp:rsid wsp:val=&quot;00EE0359&quot;/&gt;&lt;wsp:rsid wsp:val=&quot;00EE0E19&quot;/&gt;&lt;wsp:rsid wsp:val=&quot;00EE23A5&quot;/&gt;&lt;wsp:rsid wsp:val=&quot;00EE2E2E&quot;/&gt;&lt;wsp:rsid wsp:val=&quot;00EE500D&quot;/&gt;&lt;wsp:rsid wsp:val=&quot;00EF2C97&quot;/&gt;&lt;wsp:rsid wsp:val=&quot;00EF486B&quot;/&gt;&lt;wsp:rsid wsp:val=&quot;00EF5FAB&quot;/&gt;&lt;wsp:rsid wsp:val=&quot;00F047CC&quot;/&gt;&lt;wsp:rsid wsp:val=&quot;00F06559&quot;/&gt;&lt;wsp:rsid wsp:val=&quot;00F07CC2&quot;/&gt;&lt;wsp:rsid wsp:val=&quot;00F10678&quot;/&gt;&lt;wsp:rsid wsp:val=&quot;00F11370&quot;/&gt;&lt;wsp:rsid wsp:val=&quot;00F137B9&quot;/&gt;&lt;wsp:rsid wsp:val=&quot;00F1583B&quot;/&gt;&lt;wsp:rsid wsp:val=&quot;00F1787F&quot;/&gt;&lt;wsp:rsid wsp:val=&quot;00F22410&quot;/&gt;&lt;wsp:rsid wsp:val=&quot;00F22BA7&quot;/&gt;&lt;wsp:rsid wsp:val=&quot;00F23E08&quot;/&gt;&lt;wsp:rsid wsp:val=&quot;00F275A7&quot;/&gt;&lt;wsp:rsid wsp:val=&quot;00F30894&quot;/&gt;&lt;wsp:rsid wsp:val=&quot;00F36D2E&quot;/&gt;&lt;wsp:rsid wsp:val=&quot;00F37C79&quot;/&gt;&lt;wsp:rsid wsp:val=&quot;00F47F44&quot;/&gt;&lt;wsp:rsid wsp:val=&quot;00F51420&quot;/&gt;&lt;wsp:rsid wsp:val=&quot;00F51AF1&quot;/&gt;&lt;wsp:rsid wsp:val=&quot;00F53B4D&quot;/&gt;&lt;wsp:rsid wsp:val=&quot;00F56ABA&quot;/&gt;&lt;wsp:rsid wsp:val=&quot;00F63DB6&quot;/&gt;&lt;wsp:rsid wsp:val=&quot;00F6604C&quot;/&gt;&lt;wsp:rsid wsp:val=&quot;00F669B7&quot;/&gt;&lt;wsp:rsid wsp:val=&quot;00F74448&quot;/&gt;&lt;wsp:rsid wsp:val=&quot;00F74920&quot;/&gt;&lt;wsp:rsid wsp:val=&quot;00F75F27&quot;/&gt;&lt;wsp:rsid wsp:val=&quot;00F801EB&quot;/&gt;&lt;wsp:rsid wsp:val=&quot;00F8073C&quot;/&gt;&lt;wsp:rsid wsp:val=&quot;00F82290&quot;/&gt;&lt;wsp:rsid wsp:val=&quot;00F85E26&quot;/&gt;&lt;wsp:rsid wsp:val=&quot;00F86F8D&quot;/&gt;&lt;wsp:rsid wsp:val=&quot;00F87B15&quot;/&gt;&lt;wsp:rsid wsp:val=&quot;00FA098D&quot;/&gt;&lt;wsp:rsid wsp:val=&quot;00FA0F00&quot;/&gt;&lt;wsp:rsid wsp:val=&quot;00FA0F65&quot;/&gt;&lt;wsp:rsid wsp:val=&quot;00FA0F72&quot;/&gt;&lt;wsp:rsid wsp:val=&quot;00FA39C3&quot;/&gt;&lt;wsp:rsid wsp:val=&quot;00FA4465&quot;/&gt;&lt;wsp:rsid wsp:val=&quot;00FA6612&quot;/&gt;&lt;wsp:rsid wsp:val=&quot;00FB4612&quot;/&gt;&lt;wsp:rsid wsp:val=&quot;00FC2AC9&quot;/&gt;&lt;wsp:rsid wsp:val=&quot;00FC461B&quot;/&gt;&lt;wsp:rsid wsp:val=&quot;00FD1178&quot;/&gt;&lt;wsp:rsid wsp:val=&quot;00FD5E7F&quot;/&gt;&lt;wsp:rsid wsp:val=&quot;00FE5D58&quot;/&gt;&lt;wsp:rsid wsp:val=&quot;00FF1AF2&quot;/&gt;&lt;wsp:rsid wsp:val=&quot;00FF3BC5&quot;/&gt;&lt;wsp:rsid wsp:val=&quot;00FF4CAA&quot;/&gt;&lt;wsp:rsid wsp:val=&quot;00FF6952&quot;/&gt;&lt;wsp:rsid wsp:val=&quot;00FF69B3&quot;/&gt;&lt;wsp:rsid wsp:val=&quot;00FF6AF0&quot;/&gt;&lt;wsp:rsid wsp:val=&quot;01A6029A&quot;/&gt;&lt;wsp:rsid wsp:val=&quot;046C758A&quot;/&gt;&lt;wsp:rsid wsp:val=&quot;04C20089&quot;/&gt;&lt;wsp:rsid wsp:val=&quot;06EA7F52&quot;/&gt;&lt;wsp:rsid wsp:val=&quot;0802281C&quot;/&gt;&lt;wsp:rsid wsp:val=&quot;08384936&quot;/&gt;&lt;wsp:rsid wsp:val=&quot;09F33C39&quot;/&gt;&lt;wsp:rsid wsp:val=&quot;0EB52C8E&quot;/&gt;&lt;wsp:rsid wsp:val=&quot;0EBF6A44&quot;/&gt;&lt;wsp:rsid wsp:val=&quot;128A0C8A&quot;/&gt;&lt;wsp:rsid wsp:val=&quot;12EE7CA6&quot;/&gt;&lt;wsp:rsid wsp:val=&quot;13234A50&quot;/&gt;&lt;wsp:rsid wsp:val=&quot;134922D8&quot;/&gt;&lt;wsp:rsid wsp:val=&quot;144A22B8&quot;/&gt;&lt;wsp:rsid wsp:val=&quot;147735E5&quot;/&gt;&lt;wsp:rsid wsp:val=&quot;14F560DF&quot;/&gt;&lt;wsp:rsid wsp:val=&quot;157F6EFB&quot;/&gt;&lt;wsp:rsid wsp:val=&quot;16815A84&quot;/&gt;&lt;wsp:rsid wsp:val=&quot;17052115&quot;/&gt;&lt;wsp:rsid wsp:val=&quot;18704697&quot;/&gt;&lt;wsp:rsid wsp:val=&quot;19205FCC&quot;/&gt;&lt;wsp:rsid wsp:val=&quot;19906D12&quot;/&gt;&lt;wsp:rsid wsp:val=&quot;1C4355F9&quot;/&gt;&lt;wsp:rsid wsp:val=&quot;219E4DC5&quot;/&gt;&lt;wsp:rsid wsp:val=&quot;24880B6D&quot;/&gt;&lt;wsp:rsid wsp:val=&quot;27CD0324&quot;/&gt;&lt;wsp:rsid wsp:val=&quot;2C7D41DC&quot;/&gt;&lt;wsp:rsid wsp:val=&quot;2EFF0A3B&quot;/&gt;&lt;wsp:rsid wsp:val=&quot;319940CC&quot;/&gt;&lt;wsp:rsid wsp:val=&quot;36D25030&quot;/&gt;&lt;wsp:rsid wsp:val=&quot;39F824F3&quot;/&gt;&lt;wsp:rsid wsp:val=&quot;39FE2F5B&quot;/&gt;&lt;wsp:rsid wsp:val=&quot;3AC07B14&quot;/&gt;&lt;wsp:rsid wsp:val=&quot;3BD44445&quot;/&gt;&lt;wsp:rsid wsp:val=&quot;3D324761&quot;/&gt;&lt;wsp:rsid wsp:val=&quot;448854C4&quot;/&gt;&lt;wsp:rsid wsp:val=&quot;46146E9A&quot;/&gt;&lt;wsp:rsid wsp:val=&quot;498D7E57&quot;/&gt;&lt;wsp:rsid wsp:val=&quot;4B644D28&quot;/&gt;&lt;wsp:rsid wsp:val=&quot;4F9B68AA&quot;/&gt;&lt;wsp:rsid wsp:val=&quot;508C6271&quot;/&gt;&lt;wsp:rsid wsp:val=&quot;582964D5&quot;/&gt;&lt;wsp:rsid wsp:val=&quot;599854E6&quot;/&gt;&lt;wsp:rsid wsp:val=&quot;5CF474BC&quot;/&gt;&lt;wsp:rsid wsp:val=&quot;5E1D7392&quot;/&gt;&lt;wsp:rsid wsp:val=&quot;5F3D25C8&quot;/&gt;&lt;wsp:rsid wsp:val=&quot;61B518D4&quot;/&gt;&lt;wsp:rsid wsp:val=&quot;62940C15&quot;/&gt;&lt;wsp:rsid wsp:val=&quot;63877415&quot;/&gt;&lt;wsp:rsid wsp:val=&quot;650E114D&quot;/&gt;&lt;wsp:rsid wsp:val=&quot;65F961C1&quot;/&gt;&lt;wsp:rsid wsp:val=&quot;6E943483&quot;/&gt;&lt;wsp:rsid wsp:val=&quot;72C159CB&quot;/&gt;&lt;wsp:rsid wsp:val=&quot;75BD2466&quot;/&gt;&lt;wsp:rsid wsp:val=&quot;75E431A2&quot;/&gt;&lt;wsp:rsid wsp:val=&quot;783756C7&quot;/&gt;&lt;wsp:rsid wsp:val=&quot;78E85E97&quot;/&gt;&lt;wsp:rsid wsp:val=&quot;7AE93141&quot;/&gt;&lt;wsp:rsid wsp:val=&quot;7B242413&quot;/&gt;&lt;wsp:rsid wsp:val=&quot;7D417E13&quot;/&gt;&lt;wsp:rsid wsp:val=&quot;7D516811&quot;/&gt;&lt;wsp:rsid wsp:val=&quot;7F7B40F3&quot;/&gt;&lt;wsp:rsid wsp:val=&quot;7FD74AC8&quot;/&gt;&lt;/wsp:rsids&gt;&lt;/w:docPr&gt;&lt;w:body&gt;&lt;wx:sect&gt;&lt;w:p wsp:rsidR=&quot;00000000&quot; wsp:rsidRDefault=&quot;007B2AB5&quot; wsp:rsidP=&quot;007B2AB5&quot;&gt;&lt;m:oMathPara&gt;&lt;m:oMath&gt;&lt;m:r&gt;&lt;w:rPr&gt;&lt;w:rFonts w:ascii=&quot;Cambria Math&quot;/&gt;&lt;wx:font wx:val=&quot;Cambria Math&quot;/&gt;&lt;w:i/&gt;&lt;w:color w:val=&quot;000000&quot;/&gt;&lt;/w:rPr&gt;&lt;m:t&gt;tanδ&lt;/m:t&gt;&lt;/m:r&gt;&lt;/m:oMath&gt;&lt;/m:oMathPara&gt;&lt;/wppppppppppppp:pr&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rFonts w:eastAsiaTheme="minorEastAsia"/>
          <w:bCs w:val="0"/>
          <w:sz w:val="22"/>
          <w:szCs w:val="22"/>
          <w:highlight w:val="none"/>
        </w:rPr>
        <w:instrText xml:space="preserve"> </w:instrText>
      </w:r>
      <w:r>
        <w:rPr>
          <w:rFonts w:eastAsiaTheme="minorEastAsia"/>
          <w:bCs w:val="0"/>
          <w:sz w:val="22"/>
          <w:szCs w:val="22"/>
          <w:highlight w:val="none"/>
        </w:rPr>
        <w:fldChar w:fldCharType="end"/>
      </w:r>
      <w:r>
        <w:rPr>
          <w:rFonts w:eastAsiaTheme="minorEastAsia"/>
          <w:bCs w:val="0"/>
          <w:sz w:val="22"/>
          <w:szCs w:val="22"/>
          <w:highlight w:val="none"/>
        </w:rPr>
        <w:t xml:space="preserve"> dielectric dissipation factor</w:t>
      </w:r>
      <w:bookmarkEnd w:id="28"/>
      <w:r>
        <w:rPr>
          <w:rFonts w:eastAsiaTheme="minorEastAsia"/>
          <w:bCs w:val="0"/>
          <w:sz w:val="22"/>
          <w:szCs w:val="22"/>
          <w:highlight w:val="none"/>
        </w:rPr>
        <w:t xml:space="preserve"> </w:t>
      </w:r>
    </w:p>
    <w:p w14:paraId="101302DD">
      <w:pPr>
        <w:pStyle w:val="41"/>
        <w:numPr>
          <w:ilvl w:val="0"/>
          <w:numId w:val="0"/>
        </w:numPr>
        <w:spacing w:beforeLines="0" w:afterLines="0" w:line="360" w:lineRule="auto"/>
        <w:ind w:firstLine="440" w:firstLineChars="200"/>
        <w:rPr>
          <w:rFonts w:ascii="Times New Roman" w:hAnsi="Times New Roman" w:eastAsiaTheme="minorEastAsia"/>
          <w:kern w:val="2"/>
          <w:sz w:val="22"/>
          <w:szCs w:val="22"/>
          <w:highlight w:val="none"/>
        </w:rPr>
      </w:pPr>
      <w:bookmarkStart w:id="29" w:name="_Toc99566842"/>
      <w:r>
        <w:rPr>
          <w:rFonts w:ascii="Times New Roman" w:hAnsi="Times New Roman" w:eastAsiaTheme="minorEastAsia"/>
          <w:kern w:val="2"/>
          <w:sz w:val="22"/>
          <w:szCs w:val="22"/>
          <w:highlight w:val="none"/>
        </w:rPr>
        <w:t>损耗角正切值loss tangent</w:t>
      </w:r>
      <w:bookmarkEnd w:id="29"/>
    </w:p>
    <w:p w14:paraId="44619773">
      <w:pPr>
        <w:pStyle w:val="41"/>
        <w:numPr>
          <w:ilvl w:val="0"/>
          <w:numId w:val="0"/>
        </w:numPr>
        <w:spacing w:beforeLines="0" w:afterLines="0" w:line="360" w:lineRule="auto"/>
        <w:ind w:firstLine="440" w:firstLineChars="200"/>
        <w:rPr>
          <w:rFonts w:ascii="Times New Roman" w:hAnsi="Times New Roman" w:eastAsiaTheme="minorEastAsia"/>
          <w:kern w:val="2"/>
          <w:sz w:val="22"/>
          <w:szCs w:val="22"/>
          <w:highlight w:val="none"/>
        </w:rPr>
      </w:pPr>
      <m:oMath>
        <m:r>
          <m:rPr/>
          <w:rPr>
            <w:rFonts w:ascii="Cambria Math" w:hAnsi="Cambria Math" w:eastAsiaTheme="minorEastAsia"/>
            <w:sz w:val="22"/>
            <w:szCs w:val="22"/>
            <w:highlight w:val="none"/>
          </w:rPr>
          <m:t>tanδ</m:t>
        </m:r>
      </m:oMath>
      <w:r>
        <w:rPr>
          <w:rFonts w:ascii="Times New Roman" w:hAnsi="Times New Roman" w:eastAsiaTheme="minorEastAsia"/>
          <w:kern w:val="2"/>
          <w:sz w:val="22"/>
          <w:szCs w:val="22"/>
          <w:highlight w:val="none"/>
        </w:rPr>
        <w:t xml:space="preserve"> </w:t>
      </w:r>
    </w:p>
    <w:p w14:paraId="6EFBF556">
      <w:pPr>
        <w:pStyle w:val="36"/>
        <w:spacing w:line="360" w:lineRule="auto"/>
        <w:ind w:firstLine="440"/>
        <w:rPr>
          <w:rFonts w:ascii="Times New Roman" w:hAnsi="Times New Roman" w:eastAsiaTheme="minorEastAsia"/>
          <w:kern w:val="2"/>
          <w:sz w:val="22"/>
          <w:szCs w:val="22"/>
          <w:highlight w:val="none"/>
        </w:rPr>
      </w:pPr>
      <w:r>
        <w:rPr>
          <w:rFonts w:ascii="Times New Roman" w:hAnsi="Times New Roman" w:eastAsiaTheme="minorEastAsia"/>
          <w:kern w:val="2"/>
          <w:sz w:val="22"/>
          <w:szCs w:val="22"/>
          <w:highlight w:val="none"/>
        </w:rPr>
        <w:t>复介电常数的虚部与实部的比值。</w:t>
      </w:r>
    </w:p>
    <w:p w14:paraId="52FFC6EC">
      <w:pPr>
        <w:pStyle w:val="36"/>
        <w:spacing w:line="360" w:lineRule="auto"/>
        <w:ind w:firstLine="440"/>
        <w:rPr>
          <w:rFonts w:ascii="Times New Roman" w:hAnsi="Times New Roman" w:eastAsiaTheme="minorEastAsia"/>
          <w:kern w:val="2"/>
          <w:sz w:val="22"/>
          <w:szCs w:val="22"/>
          <w:highlight w:val="none"/>
        </w:rPr>
      </w:pPr>
      <w:r>
        <w:rPr>
          <w:rFonts w:ascii="Times New Roman" w:hAnsi="Times New Roman" w:eastAsiaTheme="minorEastAsia"/>
          <w:kern w:val="2"/>
          <w:sz w:val="22"/>
          <w:szCs w:val="22"/>
          <w:highlight w:val="none"/>
        </w:rPr>
        <w:t>[来源：GB/T 31838.6-2021，3.6]</w:t>
      </w:r>
    </w:p>
    <w:p w14:paraId="397F2E1E">
      <w:pPr>
        <w:pStyle w:val="2"/>
        <w:spacing w:before="120" w:beforeLines="50" w:after="0" w:line="360" w:lineRule="auto"/>
        <w:rPr>
          <w:rFonts w:eastAsiaTheme="minorEastAsia"/>
          <w:bCs w:val="0"/>
          <w:sz w:val="24"/>
          <w:szCs w:val="24"/>
          <w:highlight w:val="none"/>
        </w:rPr>
      </w:pPr>
      <w:r>
        <w:rPr>
          <w:rFonts w:eastAsiaTheme="minorEastAsia"/>
          <w:bCs w:val="0"/>
          <w:sz w:val="24"/>
          <w:szCs w:val="24"/>
          <w:highlight w:val="none"/>
        </w:rPr>
        <w:t>4 概述</w:t>
      </w:r>
      <w:bookmarkEnd w:id="18"/>
      <w:bookmarkEnd w:id="19"/>
      <w:bookmarkEnd w:id="20"/>
      <w:bookmarkEnd w:id="22"/>
    </w:p>
    <w:p w14:paraId="5F18FB54">
      <w:pPr>
        <w:pStyle w:val="2"/>
        <w:spacing w:before="120" w:beforeLines="50" w:after="0" w:line="360" w:lineRule="auto"/>
        <w:rPr>
          <w:rFonts w:eastAsiaTheme="minorEastAsia"/>
          <w:bCs w:val="0"/>
          <w:sz w:val="22"/>
          <w:szCs w:val="22"/>
          <w:highlight w:val="none"/>
        </w:rPr>
      </w:pPr>
      <w:r>
        <w:rPr>
          <w:rFonts w:eastAsiaTheme="minorEastAsia"/>
          <w:bCs w:val="0"/>
          <w:sz w:val="22"/>
          <w:szCs w:val="22"/>
          <w:highlight w:val="none"/>
        </w:rPr>
        <w:t>4.1 测量原理</w:t>
      </w:r>
    </w:p>
    <w:p w14:paraId="56B48FF9">
      <w:pPr>
        <w:pStyle w:val="36"/>
        <w:spacing w:line="360" w:lineRule="auto"/>
        <w:ind w:firstLine="440"/>
        <w:rPr>
          <w:rFonts w:ascii="Times New Roman" w:hAnsi="Times New Roman" w:eastAsiaTheme="minorEastAsia"/>
          <w:kern w:val="2"/>
          <w:sz w:val="22"/>
          <w:szCs w:val="22"/>
          <w:highlight w:val="none"/>
        </w:rPr>
      </w:pPr>
      <w:r>
        <w:rPr>
          <w:rFonts w:hint="eastAsia" w:ascii="Times New Roman" w:hAnsi="Times New Roman" w:eastAsiaTheme="minorEastAsia"/>
          <w:kern w:val="2"/>
          <w:sz w:val="22"/>
          <w:szCs w:val="22"/>
          <w:highlight w:val="none"/>
        </w:rPr>
        <w:t>开式谐振腔又称准光腔，是光学谐振结构在微波、毫米波频段的延伸。若将微波谐振腔的边壁移开，以减小半导体损耗和可能的谐振模数，由此形成由两个平行金属板构成的开式谐振器，亦称为</w:t>
      </w:r>
      <w:r>
        <w:rPr>
          <w:rFonts w:ascii="Times New Roman" w:hAnsi="Times New Roman" w:eastAsiaTheme="minorEastAsia"/>
          <w:kern w:val="2"/>
          <w:sz w:val="22"/>
          <w:szCs w:val="22"/>
          <w:highlight w:val="none"/>
        </w:rPr>
        <w:t>Fabry-Perot</w:t>
      </w:r>
      <w:r>
        <w:rPr>
          <w:rFonts w:hint="eastAsia" w:ascii="Times New Roman" w:hAnsi="Times New Roman" w:eastAsiaTheme="minorEastAsia"/>
          <w:kern w:val="2"/>
          <w:sz w:val="22"/>
          <w:szCs w:val="22"/>
          <w:highlight w:val="none"/>
        </w:rPr>
        <w:t>（法布里</w:t>
      </w:r>
      <w:r>
        <w:rPr>
          <w:rFonts w:ascii="Times New Roman" w:hAnsi="Times New Roman" w:eastAsiaTheme="minorEastAsia"/>
          <w:kern w:val="2"/>
          <w:sz w:val="22"/>
          <w:szCs w:val="22"/>
          <w:highlight w:val="none"/>
        </w:rPr>
        <w:t>-</w:t>
      </w:r>
      <w:r>
        <w:rPr>
          <w:rFonts w:hint="eastAsia" w:ascii="Times New Roman" w:hAnsi="Times New Roman" w:eastAsiaTheme="minorEastAsia"/>
          <w:kern w:val="2"/>
          <w:sz w:val="22"/>
          <w:szCs w:val="22"/>
          <w:highlight w:val="none"/>
        </w:rPr>
        <w:t>珀罗）谐振腔，其原理与光学法布里</w:t>
      </w:r>
      <w:r>
        <w:rPr>
          <w:rFonts w:ascii="Times New Roman" w:hAnsi="Times New Roman" w:eastAsiaTheme="minorEastAsia"/>
          <w:kern w:val="2"/>
          <w:sz w:val="22"/>
          <w:szCs w:val="22"/>
          <w:highlight w:val="none"/>
        </w:rPr>
        <w:t>-</w:t>
      </w:r>
      <w:r>
        <w:rPr>
          <w:rFonts w:hint="eastAsia" w:ascii="Times New Roman" w:hAnsi="Times New Roman" w:eastAsiaTheme="minorEastAsia"/>
          <w:kern w:val="2"/>
          <w:sz w:val="22"/>
          <w:szCs w:val="22"/>
          <w:highlight w:val="none"/>
        </w:rPr>
        <w:t>珀罗干涉仪相似。与在远红外和可见光的激光应用中的谐振器类似，这种开式谐振腔在毫米波段和亚毫米波段应用很广，在毫米波段频率介质参数测量中也很有用。</w:t>
      </w:r>
    </w:p>
    <w:p w14:paraId="007A6312">
      <w:pPr>
        <w:pStyle w:val="36"/>
        <w:spacing w:line="360" w:lineRule="auto"/>
        <w:ind w:firstLine="440"/>
        <w:rPr>
          <w:highlight w:val="none"/>
        </w:rPr>
      </w:pPr>
      <w:r>
        <w:rPr>
          <w:rFonts w:hint="eastAsia" w:ascii="Times New Roman" w:hAnsi="Times New Roman" w:eastAsiaTheme="minorEastAsia"/>
          <w:kern w:val="2"/>
          <w:sz w:val="22"/>
          <w:szCs w:val="22"/>
          <w:highlight w:val="none"/>
        </w:rPr>
        <w:t>开式谐振腔是由不同曲率半径的凹、凸球面镜构成，应选取工作于稳定区的开式谐振腔，这时波束经镜面反射后能重新聚焦，以维持开式谐振腔的高</w:t>
      </w:r>
      <w:r>
        <w:rPr>
          <w:rFonts w:ascii="Times New Roman" w:hAnsi="Times New Roman" w:eastAsiaTheme="minorEastAsia"/>
          <w:kern w:val="2"/>
          <w:sz w:val="22"/>
          <w:szCs w:val="22"/>
          <w:highlight w:val="none"/>
        </w:rPr>
        <w:t>Q</w:t>
      </w:r>
      <w:r>
        <w:rPr>
          <w:rFonts w:hint="eastAsia" w:ascii="Times New Roman" w:hAnsi="Times New Roman" w:eastAsiaTheme="minorEastAsia"/>
          <w:kern w:val="2"/>
          <w:sz w:val="22"/>
          <w:szCs w:val="22"/>
          <w:highlight w:val="none"/>
        </w:rPr>
        <w:t>的电磁振荡，否则波束将散开，而不能形成谐振。在介质计量学中常用的开式谐振腔为近共焦腔（通常称为共焦准光腔）、近半共焦腔（通常称为半共焦准光腔）、短双凹腔、近半球腔（通常称为半球准光腔）。(</w:t>
      </w:r>
      <w:r>
        <w:rPr>
          <w:rFonts w:hint="eastAsia"/>
          <w:highlight w:val="none"/>
        </w:rPr>
        <w:t>来源：《简明微波》， 梁昌洪、谢拥军、官伯然)</w:t>
      </w:r>
    </w:p>
    <w:p w14:paraId="5C6EBBD3">
      <w:pPr>
        <w:spacing w:line="360" w:lineRule="auto"/>
        <w:ind w:firstLine="440" w:firstLineChars="200"/>
        <w:rPr>
          <w:rFonts w:eastAsiaTheme="minorEastAsia"/>
          <w:sz w:val="22"/>
          <w:szCs w:val="22"/>
          <w:highlight w:val="none"/>
        </w:rPr>
      </w:pPr>
      <w:r>
        <w:rPr>
          <w:rFonts w:eastAsiaTheme="minorEastAsia"/>
          <w:sz w:val="22"/>
          <w:szCs w:val="22"/>
          <w:highlight w:val="none"/>
        </w:rPr>
        <w:t>准光腔依据Fabry-Perot谐振原理，在腔体内形成TEM</w:t>
      </w:r>
      <w:r>
        <w:rPr>
          <w:rFonts w:eastAsiaTheme="minorEastAsia"/>
          <w:sz w:val="22"/>
          <w:szCs w:val="22"/>
          <w:highlight w:val="none"/>
          <w:vertAlign w:val="subscript"/>
        </w:rPr>
        <w:t>00q</w:t>
      </w:r>
      <w:r>
        <w:rPr>
          <w:rFonts w:eastAsiaTheme="minorEastAsia"/>
          <w:sz w:val="22"/>
          <w:szCs w:val="22"/>
          <w:highlight w:val="none"/>
        </w:rPr>
        <w:t>谐振模式的高斯波束，当腔长或频率满足一定条件时腔体发生谐振，在确定的腔长或测试频率下，置入样品后，谐振腔的谐振长度或谐振频率和有载品质因数均发生变化。根据样品厚度、置入样品前后的谐振长度或谐振频率和有载品质因数的变化，通过求解超越方程计算出样品的相对介电常数</w:t>
      </w:r>
      <m:oMath>
        <m:sSup>
          <m:sSupPr>
            <m:ctrlPr>
              <w:rPr>
                <w:rFonts w:ascii="Cambria Math" w:hAnsi="Cambria Math" w:eastAsiaTheme="minorEastAsia"/>
                <w:i/>
                <w:sz w:val="22"/>
                <w:szCs w:val="22"/>
                <w:highlight w:val="none"/>
              </w:rPr>
            </m:ctrlPr>
          </m:sSupPr>
          <m:e>
            <m:sSub>
              <m:sSubPr>
                <m:ctrlPr>
                  <w:rPr>
                    <w:rFonts w:ascii="Cambria Math" w:hAnsi="Cambria Math" w:eastAsiaTheme="minorEastAsia"/>
                    <w:i/>
                    <w:sz w:val="22"/>
                    <w:szCs w:val="22"/>
                    <w:highlight w:val="none"/>
                  </w:rPr>
                </m:ctrlPr>
              </m:sSubPr>
              <m:e>
                <m:r>
                  <m:rPr/>
                  <w:rPr>
                    <w:rFonts w:ascii="Cambria Math" w:hAnsi="Cambria Math" w:eastAsiaTheme="minorEastAsia"/>
                    <w:sz w:val="22"/>
                    <w:szCs w:val="22"/>
                    <w:highlight w:val="none"/>
                  </w:rPr>
                  <m:t>ε</m:t>
                </m:r>
                <m:ctrlPr>
                  <w:rPr>
                    <w:rFonts w:ascii="Cambria Math" w:hAnsi="Cambria Math" w:eastAsiaTheme="minorEastAsia"/>
                    <w:i/>
                    <w:sz w:val="22"/>
                    <w:szCs w:val="22"/>
                    <w:highlight w:val="none"/>
                  </w:rPr>
                </m:ctrlPr>
              </m:e>
              <m:sub>
                <m:r>
                  <m:rPr/>
                  <w:rPr>
                    <w:rFonts w:hint="eastAsia" w:ascii="Cambria Math" w:hAnsi="Cambria Math" w:eastAsiaTheme="minorEastAsia"/>
                    <w:sz w:val="22"/>
                    <w:szCs w:val="22"/>
                    <w:highlight w:val="none"/>
                  </w:rPr>
                  <m:t>r</m:t>
                </m:r>
                <m:ctrlPr>
                  <w:rPr>
                    <w:rFonts w:ascii="Cambria Math" w:hAnsi="Cambria Math" w:eastAsiaTheme="minorEastAsia"/>
                    <w:i/>
                    <w:sz w:val="22"/>
                    <w:szCs w:val="22"/>
                    <w:highlight w:val="none"/>
                  </w:rPr>
                </m:ctrlPr>
              </m:sub>
            </m:sSub>
            <m:ctrlPr>
              <w:rPr>
                <w:rFonts w:ascii="Cambria Math" w:hAnsi="Cambria Math" w:eastAsiaTheme="minorEastAsia"/>
                <w:i/>
                <w:sz w:val="22"/>
                <w:szCs w:val="22"/>
                <w:highlight w:val="none"/>
              </w:rPr>
            </m:ctrlPr>
          </m:e>
          <m:sup>
            <m:r>
              <m:rPr/>
              <w:rPr>
                <w:rFonts w:ascii="Cambria Math" w:hAnsi="Cambria Math" w:eastAsiaTheme="minorEastAsia"/>
                <w:sz w:val="22"/>
                <w:szCs w:val="22"/>
                <w:highlight w:val="none"/>
              </w:rPr>
              <m:t>'</m:t>
            </m:r>
            <m:ctrlPr>
              <w:rPr>
                <w:rFonts w:ascii="Cambria Math" w:hAnsi="Cambria Math" w:eastAsiaTheme="minorEastAsia"/>
                <w:i/>
                <w:sz w:val="22"/>
                <w:szCs w:val="22"/>
                <w:highlight w:val="none"/>
              </w:rPr>
            </m:ctrlPr>
          </m:sup>
        </m:sSup>
      </m:oMath>
      <w:r>
        <w:rPr>
          <w:rFonts w:eastAsiaTheme="minorEastAsia"/>
          <w:sz w:val="22"/>
          <w:szCs w:val="22"/>
          <w:highlight w:val="none"/>
        </w:rPr>
        <w:t>和损耗角正切</w:t>
      </w:r>
      <m:oMath>
        <m:r>
          <m:rPr/>
          <w:rPr>
            <w:rFonts w:ascii="Cambria Math" w:hAnsi="Cambria Math" w:eastAsiaTheme="minorEastAsia"/>
            <w:sz w:val="22"/>
            <w:szCs w:val="22"/>
            <w:highlight w:val="none"/>
          </w:rPr>
          <m:t>tanδ</m:t>
        </m:r>
      </m:oMath>
      <w:r>
        <w:rPr>
          <w:rFonts w:eastAsiaTheme="minorEastAsia"/>
          <w:sz w:val="22"/>
          <w:szCs w:val="22"/>
          <w:highlight w:val="none"/>
        </w:rPr>
        <w:t>。</w:t>
      </w:r>
    </w:p>
    <w:p w14:paraId="1F288697">
      <w:pPr>
        <w:pStyle w:val="2"/>
        <w:spacing w:before="120" w:beforeLines="50" w:after="0" w:line="360" w:lineRule="auto"/>
        <w:rPr>
          <w:rFonts w:eastAsiaTheme="minorEastAsia"/>
          <w:bCs w:val="0"/>
          <w:sz w:val="22"/>
          <w:szCs w:val="22"/>
          <w:highlight w:val="none"/>
        </w:rPr>
      </w:pPr>
      <w:r>
        <w:rPr>
          <w:rFonts w:eastAsiaTheme="minorEastAsia"/>
          <w:bCs w:val="0"/>
          <w:sz w:val="22"/>
          <w:szCs w:val="22"/>
          <w:highlight w:val="none"/>
        </w:rPr>
        <w:t>4.2 测量系统</w:t>
      </w:r>
    </w:p>
    <w:p w14:paraId="70C008C6">
      <w:pPr>
        <w:autoSpaceDE w:val="0"/>
        <w:autoSpaceDN w:val="0"/>
        <w:adjustRightInd w:val="0"/>
        <w:spacing w:line="360" w:lineRule="auto"/>
        <w:ind w:firstLine="420"/>
        <w:jc w:val="left"/>
        <w:rPr>
          <w:rFonts w:eastAsiaTheme="minorEastAsia"/>
          <w:sz w:val="22"/>
          <w:szCs w:val="22"/>
          <w:highlight w:val="none"/>
        </w:rPr>
      </w:pPr>
      <w:r>
        <w:rPr>
          <w:rFonts w:eastAsiaTheme="minorEastAsia"/>
          <w:sz w:val="22"/>
          <w:szCs w:val="22"/>
          <w:highlight w:val="none"/>
          <w:lang w:val="zh-CN"/>
        </w:rPr>
        <w:t>常</w:t>
      </w:r>
      <w:r>
        <w:rPr>
          <w:rFonts w:eastAsiaTheme="minorEastAsia"/>
          <w:sz w:val="22"/>
          <w:szCs w:val="22"/>
          <w:highlight w:val="none"/>
        </w:rPr>
        <w:t>用的准光腔介电常数测量系统一般由网络分析仪、准光腔、同轴线和测量软件组成。</w:t>
      </w:r>
      <w:r>
        <w:rPr>
          <w:rFonts w:hint="eastAsia" w:eastAsiaTheme="minorEastAsia"/>
          <w:sz w:val="22"/>
          <w:szCs w:val="22"/>
          <w:highlight w:val="none"/>
        </w:rPr>
        <w:t>根据准光腔结构不同，准光腔测量系统可分为以下三种。</w:t>
      </w:r>
    </w:p>
    <w:p w14:paraId="121D7D6F">
      <w:pPr>
        <w:pStyle w:val="2"/>
        <w:spacing w:before="120" w:beforeLines="50" w:after="0" w:line="360" w:lineRule="auto"/>
        <w:rPr>
          <w:rFonts w:eastAsiaTheme="minorEastAsia"/>
          <w:bCs w:val="0"/>
          <w:sz w:val="22"/>
          <w:szCs w:val="22"/>
          <w:highlight w:val="none"/>
        </w:rPr>
      </w:pPr>
      <w:r>
        <w:rPr>
          <w:rFonts w:eastAsiaTheme="minorEastAsia"/>
          <w:bCs w:val="0"/>
          <w:sz w:val="22"/>
          <w:szCs w:val="22"/>
          <w:highlight w:val="none"/>
        </w:rPr>
        <w:t>4.2.1 共焦准光腔结构及测量系统</w:t>
      </w:r>
      <w:r>
        <w:rPr>
          <w:rFonts w:hint="eastAsia" w:eastAsiaTheme="minorEastAsia"/>
          <w:bCs w:val="0"/>
          <w:sz w:val="22"/>
          <w:szCs w:val="22"/>
          <w:highlight w:val="none"/>
        </w:rPr>
        <w:t>（A型）</w:t>
      </w:r>
    </w:p>
    <w:p w14:paraId="1061B536">
      <w:pPr>
        <w:spacing w:line="360" w:lineRule="auto"/>
        <w:ind w:firstLine="420"/>
        <w:rPr>
          <w:rFonts w:eastAsiaTheme="minorEastAsia"/>
          <w:sz w:val="22"/>
          <w:szCs w:val="22"/>
          <w:highlight w:val="none"/>
        </w:rPr>
      </w:pPr>
      <w:r>
        <w:rPr>
          <w:rFonts w:eastAsiaTheme="minorEastAsia"/>
          <w:sz w:val="22"/>
          <w:szCs w:val="22"/>
          <w:highlight w:val="none"/>
        </w:rPr>
        <w:t>如图1所示</w:t>
      </w:r>
      <w:r>
        <w:rPr>
          <w:rFonts w:hint="eastAsia" w:eastAsiaTheme="minorEastAsia"/>
          <w:sz w:val="22"/>
          <w:szCs w:val="22"/>
          <w:highlight w:val="none"/>
        </w:rPr>
        <w:t>，</w:t>
      </w:r>
      <w:r>
        <w:rPr>
          <w:rFonts w:eastAsiaTheme="minorEastAsia"/>
          <w:sz w:val="22"/>
          <w:szCs w:val="22"/>
          <w:highlight w:val="none"/>
        </w:rPr>
        <w:t>共焦式准光腔是由2个球面镜</w:t>
      </w:r>
      <w:r>
        <w:rPr>
          <w:rFonts w:hint="eastAsia" w:eastAsiaTheme="minorEastAsia"/>
          <w:sz w:val="22"/>
          <w:szCs w:val="22"/>
          <w:highlight w:val="none"/>
        </w:rPr>
        <w:t>、</w:t>
      </w:r>
      <w:r>
        <w:rPr>
          <w:rFonts w:eastAsiaTheme="minorEastAsia"/>
          <w:sz w:val="22"/>
          <w:szCs w:val="22"/>
          <w:highlight w:val="none"/>
          <w:lang w:val="zh-CN"/>
        </w:rPr>
        <w:t>样品支架</w:t>
      </w:r>
      <w:r>
        <w:rPr>
          <w:rFonts w:hint="eastAsia" w:eastAsiaTheme="minorEastAsia"/>
          <w:sz w:val="22"/>
          <w:szCs w:val="22"/>
          <w:highlight w:val="none"/>
          <w:lang w:val="zh-CN"/>
        </w:rPr>
        <w:t>、</w:t>
      </w:r>
      <w:r>
        <w:rPr>
          <w:rFonts w:eastAsiaTheme="minorEastAsia"/>
          <w:sz w:val="22"/>
          <w:szCs w:val="22"/>
          <w:highlight w:val="none"/>
          <w:lang w:val="zh-CN"/>
        </w:rPr>
        <w:t>输入与输出波导构成。介质试样放置于样品架上，</w:t>
      </w:r>
      <w:r>
        <w:rPr>
          <w:rFonts w:eastAsiaTheme="minorEastAsia"/>
          <w:sz w:val="22"/>
          <w:szCs w:val="22"/>
          <w:highlight w:val="none"/>
        </w:rPr>
        <w:t>测试信号通过同轴线传输，经耦合孔输入</w:t>
      </w:r>
      <w:r>
        <w:rPr>
          <w:rFonts w:hint="eastAsia" w:eastAsiaTheme="minorEastAsia"/>
          <w:sz w:val="22"/>
          <w:szCs w:val="22"/>
          <w:highlight w:val="none"/>
        </w:rPr>
        <w:t>，再经同轴线</w:t>
      </w:r>
      <w:r>
        <w:rPr>
          <w:rFonts w:eastAsiaTheme="minorEastAsia"/>
          <w:sz w:val="22"/>
          <w:szCs w:val="22"/>
          <w:highlight w:val="none"/>
        </w:rPr>
        <w:t>耦合圆环耦合输出</w:t>
      </w:r>
      <w:r>
        <w:rPr>
          <w:rFonts w:hint="eastAsia" w:eastAsiaTheme="minorEastAsia"/>
          <w:sz w:val="22"/>
          <w:szCs w:val="22"/>
          <w:highlight w:val="none"/>
        </w:rPr>
        <w:t>。</w:t>
      </w:r>
    </w:p>
    <w:p w14:paraId="0F71A0B4">
      <w:pPr>
        <w:spacing w:line="360" w:lineRule="auto"/>
        <w:ind w:left="420" w:firstLine="420"/>
        <w:jc w:val="center"/>
        <w:rPr>
          <w:rFonts w:eastAsiaTheme="minorEastAsia"/>
          <w:sz w:val="22"/>
          <w:szCs w:val="22"/>
          <w:highlight w:val="none"/>
          <w:lang w:val="zh-CN"/>
        </w:rPr>
      </w:pPr>
      <w:r>
        <w:rPr>
          <w:rFonts w:eastAsiaTheme="minorEastAsia"/>
          <w:sz w:val="20"/>
          <w:szCs w:val="22"/>
          <w:highlight w:val="none"/>
        </w:rPr>
        <w:drawing>
          <wp:inline distT="0" distB="0" distL="114300" distR="114300">
            <wp:extent cx="2829560" cy="2519680"/>
            <wp:effectExtent l="0" t="0" r="0" b="0"/>
            <wp:docPr id="1" name="图片 101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12" descr="图片2"/>
                    <pic:cNvPicPr>
                      <a:picLocks noChangeAspect="1"/>
                    </pic:cNvPicPr>
                  </pic:nvPicPr>
                  <pic:blipFill>
                    <a:blip r:embed="rId17" cstate="print"/>
                    <a:srcRect t="10083" r="1080" b="46"/>
                    <a:stretch>
                      <a:fillRect/>
                    </a:stretch>
                  </pic:blipFill>
                  <pic:spPr>
                    <a:xfrm>
                      <a:off x="0" y="0"/>
                      <a:ext cx="2829944" cy="2520000"/>
                    </a:xfrm>
                    <a:prstGeom prst="rect">
                      <a:avLst/>
                    </a:prstGeom>
                    <a:noFill/>
                    <a:ln>
                      <a:noFill/>
                    </a:ln>
                  </pic:spPr>
                </pic:pic>
              </a:graphicData>
            </a:graphic>
          </wp:inline>
        </w:drawing>
      </w:r>
    </w:p>
    <w:p w14:paraId="152EC2D4">
      <w:pPr>
        <w:spacing w:line="360" w:lineRule="auto"/>
        <w:jc w:val="center"/>
        <w:rPr>
          <w:rFonts w:eastAsiaTheme="minorEastAsia"/>
          <w:sz w:val="22"/>
          <w:szCs w:val="22"/>
          <w:highlight w:val="none"/>
        </w:rPr>
      </w:pPr>
      <w:r>
        <w:rPr>
          <w:rFonts w:eastAsiaTheme="minorEastAsia"/>
          <w:sz w:val="22"/>
          <w:szCs w:val="22"/>
          <w:highlight w:val="none"/>
        </w:rPr>
        <w:t>图1共焦准光腔测量系统的典型结构</w:t>
      </w:r>
    </w:p>
    <w:p w14:paraId="3DF503A7">
      <w:pPr>
        <w:pStyle w:val="2"/>
        <w:spacing w:before="120" w:beforeLines="50" w:after="0" w:line="360" w:lineRule="auto"/>
        <w:rPr>
          <w:rFonts w:eastAsiaTheme="minorEastAsia"/>
          <w:bCs w:val="0"/>
          <w:sz w:val="22"/>
          <w:szCs w:val="22"/>
          <w:highlight w:val="none"/>
        </w:rPr>
      </w:pPr>
      <w:r>
        <w:rPr>
          <w:rFonts w:eastAsiaTheme="minorEastAsia"/>
          <w:bCs w:val="0"/>
          <w:sz w:val="22"/>
          <w:szCs w:val="22"/>
          <w:highlight w:val="none"/>
        </w:rPr>
        <w:t>4.2.</w:t>
      </w:r>
      <w:r>
        <w:rPr>
          <w:rFonts w:hint="eastAsia" w:eastAsiaTheme="minorEastAsia"/>
          <w:bCs w:val="0"/>
          <w:sz w:val="22"/>
          <w:szCs w:val="22"/>
          <w:highlight w:val="none"/>
        </w:rPr>
        <w:t>2</w:t>
      </w:r>
      <w:r>
        <w:rPr>
          <w:rFonts w:eastAsiaTheme="minorEastAsia"/>
          <w:bCs w:val="0"/>
          <w:sz w:val="22"/>
          <w:szCs w:val="22"/>
          <w:highlight w:val="none"/>
        </w:rPr>
        <w:t xml:space="preserve"> 半球准光腔结构及测量系统</w:t>
      </w:r>
      <w:r>
        <w:rPr>
          <w:rFonts w:hint="eastAsia" w:eastAsiaTheme="minorEastAsia"/>
          <w:bCs w:val="0"/>
          <w:sz w:val="22"/>
          <w:szCs w:val="22"/>
          <w:highlight w:val="none"/>
        </w:rPr>
        <w:t>（B型）</w:t>
      </w:r>
    </w:p>
    <w:p w14:paraId="7B99DFD4">
      <w:pPr>
        <w:spacing w:line="360" w:lineRule="auto"/>
        <w:ind w:firstLine="440" w:firstLineChars="200"/>
        <w:rPr>
          <w:rFonts w:eastAsiaTheme="minorEastAsia"/>
          <w:sz w:val="22"/>
          <w:szCs w:val="22"/>
          <w:highlight w:val="none"/>
        </w:rPr>
      </w:pPr>
      <w:r>
        <w:rPr>
          <w:rFonts w:eastAsiaTheme="minorEastAsia"/>
          <w:sz w:val="22"/>
          <w:szCs w:val="22"/>
          <w:highlight w:val="none"/>
        </w:rPr>
        <w:t>如图2所示</w:t>
      </w:r>
      <w:r>
        <w:rPr>
          <w:rFonts w:hint="eastAsia" w:eastAsiaTheme="minorEastAsia"/>
          <w:sz w:val="22"/>
          <w:szCs w:val="22"/>
          <w:highlight w:val="none"/>
        </w:rPr>
        <w:t>，</w:t>
      </w:r>
      <w:r>
        <w:rPr>
          <w:rFonts w:eastAsiaTheme="minorEastAsia"/>
          <w:sz w:val="22"/>
          <w:szCs w:val="22"/>
          <w:highlight w:val="none"/>
        </w:rPr>
        <w:t>半球式准光腔是由</w:t>
      </w:r>
      <w:r>
        <w:rPr>
          <w:rFonts w:eastAsiaTheme="minorEastAsia"/>
          <w:sz w:val="22"/>
          <w:szCs w:val="22"/>
          <w:highlight w:val="none"/>
          <w:lang w:val="zh-CN"/>
        </w:rPr>
        <w:t>凹面镜</w:t>
      </w:r>
      <w:r>
        <w:rPr>
          <w:rFonts w:hint="eastAsia" w:eastAsiaTheme="minorEastAsia"/>
          <w:sz w:val="22"/>
          <w:szCs w:val="22"/>
          <w:highlight w:val="none"/>
          <w:lang w:val="zh-CN"/>
        </w:rPr>
        <w:t>、</w:t>
      </w:r>
      <w:r>
        <w:rPr>
          <w:rFonts w:eastAsiaTheme="minorEastAsia"/>
          <w:sz w:val="22"/>
          <w:szCs w:val="22"/>
          <w:highlight w:val="none"/>
          <w:lang w:val="zh-CN"/>
        </w:rPr>
        <w:t>平面镜</w:t>
      </w:r>
      <w:r>
        <w:rPr>
          <w:rFonts w:hint="eastAsia" w:eastAsiaTheme="minorEastAsia"/>
          <w:sz w:val="22"/>
          <w:szCs w:val="22"/>
          <w:highlight w:val="none"/>
        </w:rPr>
        <w:t>、</w:t>
      </w:r>
      <w:r>
        <w:rPr>
          <w:rFonts w:eastAsiaTheme="minorEastAsia"/>
          <w:sz w:val="22"/>
          <w:szCs w:val="22"/>
          <w:highlight w:val="none"/>
          <w:lang w:val="zh-CN"/>
        </w:rPr>
        <w:t>输入与输出波导构成。介质试样放置于平面镜上平开多孔处，</w:t>
      </w:r>
      <w:r>
        <w:rPr>
          <w:rFonts w:eastAsiaTheme="minorEastAsia"/>
          <w:sz w:val="22"/>
          <w:szCs w:val="22"/>
          <w:highlight w:val="none"/>
        </w:rPr>
        <w:t>测试信号通过同轴线传输，经耦合孔输入再经同轴线耦合圆环耦合输出</w:t>
      </w:r>
      <w:r>
        <w:rPr>
          <w:rFonts w:hint="eastAsia" w:eastAsiaTheme="minorEastAsia"/>
          <w:sz w:val="22"/>
          <w:szCs w:val="22"/>
          <w:highlight w:val="none"/>
        </w:rPr>
        <w:t>。</w:t>
      </w:r>
    </w:p>
    <w:p w14:paraId="592CB0C4">
      <w:pPr>
        <w:spacing w:line="360" w:lineRule="auto"/>
        <w:jc w:val="center"/>
        <w:rPr>
          <w:rFonts w:eastAsiaTheme="minorEastAsia"/>
          <w:sz w:val="22"/>
          <w:szCs w:val="22"/>
          <w:highlight w:val="none"/>
          <w:lang w:val="zh-CN"/>
        </w:rPr>
      </w:pPr>
      <w:r>
        <w:rPr>
          <w:rFonts w:eastAsiaTheme="minorEastAsia"/>
          <w:sz w:val="22"/>
          <w:szCs w:val="22"/>
          <w:highlight w:val="none"/>
        </w:rPr>
        <w:drawing>
          <wp:inline distT="0" distB="0" distL="0" distR="0">
            <wp:extent cx="2498090" cy="2519680"/>
            <wp:effectExtent l="0" t="0" r="0" b="0"/>
            <wp:docPr id="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498195" cy="2520000"/>
                    </a:xfrm>
                    <a:prstGeom prst="rect">
                      <a:avLst/>
                    </a:prstGeom>
                  </pic:spPr>
                </pic:pic>
              </a:graphicData>
            </a:graphic>
          </wp:inline>
        </w:drawing>
      </w:r>
    </w:p>
    <w:p w14:paraId="228626A6">
      <w:pPr>
        <w:spacing w:line="360" w:lineRule="auto"/>
        <w:jc w:val="center"/>
        <w:rPr>
          <w:rFonts w:eastAsiaTheme="minorEastAsia"/>
          <w:sz w:val="22"/>
          <w:szCs w:val="22"/>
          <w:highlight w:val="none"/>
        </w:rPr>
      </w:pPr>
      <w:r>
        <w:rPr>
          <w:rFonts w:eastAsiaTheme="minorEastAsia"/>
          <w:sz w:val="22"/>
          <w:szCs w:val="22"/>
          <w:highlight w:val="none"/>
        </w:rPr>
        <w:t>图2半球准光腔测量系统的典型结构</w:t>
      </w:r>
    </w:p>
    <w:p w14:paraId="0F8560CF">
      <w:pPr>
        <w:pStyle w:val="2"/>
        <w:spacing w:before="120" w:beforeLines="50" w:after="0" w:line="360" w:lineRule="auto"/>
        <w:rPr>
          <w:rFonts w:eastAsiaTheme="minorEastAsia"/>
          <w:bCs w:val="0"/>
          <w:sz w:val="22"/>
          <w:szCs w:val="22"/>
          <w:highlight w:val="none"/>
        </w:rPr>
      </w:pPr>
      <w:r>
        <w:rPr>
          <w:rFonts w:eastAsiaTheme="minorEastAsia"/>
          <w:bCs w:val="0"/>
          <w:sz w:val="22"/>
          <w:szCs w:val="22"/>
          <w:highlight w:val="none"/>
        </w:rPr>
        <w:t>4.2.3 半共焦准光腔</w:t>
      </w:r>
      <w:r>
        <w:rPr>
          <w:rFonts w:hint="eastAsia" w:eastAsiaTheme="minorEastAsia"/>
          <w:bCs w:val="0"/>
          <w:sz w:val="22"/>
          <w:szCs w:val="22"/>
          <w:highlight w:val="none"/>
        </w:rPr>
        <w:t>结构及测量系统（C型）</w:t>
      </w:r>
    </w:p>
    <w:p w14:paraId="0ADFA903">
      <w:pPr>
        <w:spacing w:line="360" w:lineRule="auto"/>
        <w:ind w:firstLine="440" w:firstLineChars="200"/>
        <w:rPr>
          <w:rFonts w:eastAsiaTheme="minorEastAsia"/>
          <w:sz w:val="22"/>
          <w:szCs w:val="22"/>
          <w:highlight w:val="none"/>
        </w:rPr>
      </w:pPr>
      <w:r>
        <w:rPr>
          <w:rFonts w:eastAsiaTheme="minorEastAsia"/>
          <w:sz w:val="22"/>
          <w:szCs w:val="22"/>
          <w:highlight w:val="none"/>
        </w:rPr>
        <w:t>如图3所示</w:t>
      </w:r>
      <w:r>
        <w:rPr>
          <w:rFonts w:hint="eastAsia" w:eastAsiaTheme="minorEastAsia"/>
          <w:sz w:val="22"/>
          <w:szCs w:val="22"/>
          <w:highlight w:val="none"/>
        </w:rPr>
        <w:t>，</w:t>
      </w:r>
      <w:r>
        <w:rPr>
          <w:rFonts w:eastAsiaTheme="minorEastAsia"/>
          <w:sz w:val="22"/>
          <w:szCs w:val="22"/>
          <w:highlight w:val="none"/>
        </w:rPr>
        <w:t>半共焦式准光腔是由</w:t>
      </w:r>
      <w:r>
        <w:rPr>
          <w:rFonts w:eastAsiaTheme="minorEastAsia"/>
          <w:sz w:val="22"/>
          <w:szCs w:val="22"/>
          <w:highlight w:val="none"/>
          <w:lang w:val="zh-CN"/>
        </w:rPr>
        <w:t>凹面镜、平面镜</w:t>
      </w:r>
      <w:r>
        <w:rPr>
          <w:rFonts w:hint="eastAsia" w:eastAsiaTheme="minorEastAsia"/>
          <w:sz w:val="22"/>
          <w:szCs w:val="22"/>
          <w:highlight w:val="none"/>
        </w:rPr>
        <w:t>、</w:t>
      </w:r>
      <w:r>
        <w:rPr>
          <w:rFonts w:eastAsiaTheme="minorEastAsia"/>
          <w:sz w:val="22"/>
          <w:szCs w:val="22"/>
          <w:highlight w:val="none"/>
          <w:lang w:val="zh-CN"/>
        </w:rPr>
        <w:t>输入与输出波导构成。介质试样放置于平面镜中心，</w:t>
      </w:r>
      <w:r>
        <w:rPr>
          <w:rFonts w:eastAsiaTheme="minorEastAsia"/>
          <w:sz w:val="22"/>
          <w:szCs w:val="22"/>
          <w:highlight w:val="none"/>
        </w:rPr>
        <w:t>测试信号经</w:t>
      </w:r>
      <w:r>
        <w:rPr>
          <w:rFonts w:hint="eastAsia" w:eastAsiaTheme="minorEastAsia"/>
          <w:sz w:val="22"/>
          <w:szCs w:val="22"/>
          <w:highlight w:val="none"/>
        </w:rPr>
        <w:t>同轴线传输，由</w:t>
      </w:r>
      <w:r>
        <w:rPr>
          <w:rFonts w:eastAsiaTheme="minorEastAsia"/>
          <w:sz w:val="22"/>
          <w:szCs w:val="22"/>
          <w:highlight w:val="none"/>
        </w:rPr>
        <w:t>耦合孔输入腔中，再经同轴线耦合圆环耦合输出</w:t>
      </w:r>
      <w:r>
        <w:rPr>
          <w:rFonts w:hint="eastAsia" w:eastAsiaTheme="minorEastAsia"/>
          <w:sz w:val="22"/>
          <w:szCs w:val="22"/>
          <w:highlight w:val="none"/>
        </w:rPr>
        <w:t>。</w:t>
      </w:r>
      <w:r>
        <w:rPr>
          <w:rFonts w:eastAsiaTheme="minorEastAsia"/>
          <w:sz w:val="22"/>
          <w:szCs w:val="22"/>
          <w:highlight w:val="none"/>
        </w:rPr>
        <w:t xml:space="preserve"> </w:t>
      </w:r>
    </w:p>
    <w:p w14:paraId="41639A54">
      <w:pPr>
        <w:spacing w:line="360" w:lineRule="auto"/>
        <w:jc w:val="center"/>
        <w:rPr>
          <w:rFonts w:eastAsiaTheme="minorEastAsia"/>
          <w:sz w:val="22"/>
          <w:szCs w:val="22"/>
          <w:highlight w:val="none"/>
        </w:rPr>
      </w:pPr>
      <w:r>
        <w:rPr>
          <w:rFonts w:eastAsiaTheme="minorEastAsia"/>
          <w:sz w:val="22"/>
          <w:szCs w:val="22"/>
          <w:highlight w:val="none"/>
        </w:rPr>
        <w:drawing>
          <wp:inline distT="0" distB="0" distL="0" distR="0">
            <wp:extent cx="2655570" cy="2519680"/>
            <wp:effectExtent l="0" t="0" r="0" b="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55570" cy="2519680"/>
                    </a:xfrm>
                    <a:prstGeom prst="rect">
                      <a:avLst/>
                    </a:prstGeom>
                  </pic:spPr>
                </pic:pic>
              </a:graphicData>
            </a:graphic>
          </wp:inline>
        </w:drawing>
      </w:r>
    </w:p>
    <w:p w14:paraId="252451DF">
      <w:pPr>
        <w:spacing w:line="360" w:lineRule="auto"/>
        <w:jc w:val="center"/>
        <w:rPr>
          <w:rFonts w:eastAsiaTheme="minorEastAsia"/>
          <w:sz w:val="22"/>
          <w:szCs w:val="22"/>
          <w:highlight w:val="none"/>
        </w:rPr>
      </w:pPr>
      <w:r>
        <w:rPr>
          <w:rFonts w:eastAsiaTheme="minorEastAsia"/>
          <w:sz w:val="22"/>
          <w:szCs w:val="22"/>
          <w:highlight w:val="none"/>
        </w:rPr>
        <w:t>图3半共焦准光腔测量系统的典型结构</w:t>
      </w:r>
    </w:p>
    <w:p w14:paraId="063E0841">
      <w:pPr>
        <w:pStyle w:val="2"/>
        <w:spacing w:before="120" w:beforeLines="50" w:after="0" w:line="360" w:lineRule="auto"/>
        <w:rPr>
          <w:rFonts w:eastAsiaTheme="minorEastAsia"/>
          <w:sz w:val="24"/>
          <w:szCs w:val="24"/>
          <w:highlight w:val="none"/>
        </w:rPr>
      </w:pPr>
      <w:bookmarkStart w:id="30" w:name="_Toc14712"/>
      <w:bookmarkStart w:id="31" w:name="_Toc332"/>
      <w:bookmarkStart w:id="32" w:name="_Toc10919"/>
      <w:bookmarkStart w:id="33" w:name="_Toc14821"/>
      <w:r>
        <w:rPr>
          <w:rFonts w:eastAsiaTheme="minorEastAsia"/>
          <w:sz w:val="24"/>
          <w:szCs w:val="24"/>
          <w:highlight w:val="none"/>
        </w:rPr>
        <w:t>5 计量特性</w:t>
      </w:r>
      <w:bookmarkEnd w:id="30"/>
      <w:bookmarkEnd w:id="31"/>
      <w:bookmarkEnd w:id="32"/>
      <w:bookmarkEnd w:id="33"/>
    </w:p>
    <w:p w14:paraId="1CCBFDFF">
      <w:pPr>
        <w:jc w:val="center"/>
        <w:rPr>
          <w:b/>
          <w:bCs/>
          <w:highlight w:val="none"/>
        </w:rPr>
      </w:pPr>
      <w:r>
        <w:rPr>
          <w:rFonts w:hint="eastAsia"/>
          <w:b/>
          <w:bCs/>
          <w:highlight w:val="none"/>
        </w:rPr>
        <w:t>表1 准光腔测量系统计量特性</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6"/>
        <w:gridCol w:w="2115"/>
        <w:gridCol w:w="4389"/>
      </w:tblGrid>
      <w:tr w14:paraId="2402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996" w:type="dxa"/>
            <w:vAlign w:val="center"/>
          </w:tcPr>
          <w:p w14:paraId="6DCE04B3">
            <w:pPr>
              <w:jc w:val="center"/>
              <w:rPr>
                <w:highlight w:val="none"/>
              </w:rPr>
            </w:pPr>
            <w:r>
              <w:rPr>
                <w:rFonts w:hint="eastAsia"/>
                <w:highlight w:val="none"/>
              </w:rPr>
              <w:t>设备名称</w:t>
            </w:r>
          </w:p>
        </w:tc>
        <w:tc>
          <w:tcPr>
            <w:tcW w:w="2115" w:type="dxa"/>
            <w:vAlign w:val="center"/>
          </w:tcPr>
          <w:p w14:paraId="139731A7">
            <w:pPr>
              <w:jc w:val="center"/>
              <w:rPr>
                <w:highlight w:val="none"/>
              </w:rPr>
            </w:pPr>
            <w:r>
              <w:rPr>
                <w:rFonts w:hint="eastAsia"/>
                <w:highlight w:val="none"/>
              </w:rPr>
              <w:t>名称</w:t>
            </w:r>
          </w:p>
        </w:tc>
        <w:tc>
          <w:tcPr>
            <w:tcW w:w="4389" w:type="dxa"/>
            <w:vAlign w:val="center"/>
          </w:tcPr>
          <w:p w14:paraId="2A58996E">
            <w:pPr>
              <w:jc w:val="center"/>
              <w:rPr>
                <w:highlight w:val="none"/>
              </w:rPr>
            </w:pPr>
            <w:r>
              <w:rPr>
                <w:rFonts w:hint="eastAsia"/>
                <w:highlight w:val="none"/>
              </w:rPr>
              <w:t>参数</w:t>
            </w:r>
          </w:p>
        </w:tc>
      </w:tr>
      <w:tr w14:paraId="3E46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996" w:type="dxa"/>
            <w:vMerge w:val="restart"/>
            <w:vAlign w:val="center"/>
          </w:tcPr>
          <w:p w14:paraId="19D4E740">
            <w:pPr>
              <w:rPr>
                <w:highlight w:val="none"/>
              </w:rPr>
            </w:pPr>
            <w:r>
              <w:rPr>
                <w:rFonts w:hint="eastAsia"/>
                <w:highlight w:val="none"/>
              </w:rPr>
              <w:t>共焦准光腔（A型）</w:t>
            </w:r>
          </w:p>
        </w:tc>
        <w:tc>
          <w:tcPr>
            <w:tcW w:w="2115" w:type="dxa"/>
            <w:vAlign w:val="center"/>
          </w:tcPr>
          <w:p w14:paraId="17B838CD">
            <w:pPr>
              <w:jc w:val="center"/>
              <w:rPr>
                <w:highlight w:val="none"/>
              </w:rPr>
            </w:pPr>
            <w:r>
              <w:rPr>
                <w:rFonts w:eastAsiaTheme="minorEastAsia"/>
                <w:sz w:val="22"/>
                <w:szCs w:val="22"/>
                <w:highlight w:val="none"/>
              </w:rPr>
              <w:t>相对介电常数实部</w:t>
            </w:r>
          </w:p>
        </w:tc>
        <w:tc>
          <w:tcPr>
            <w:tcW w:w="4389" w:type="dxa"/>
            <w:vAlign w:val="center"/>
          </w:tcPr>
          <w:p w14:paraId="1167CCF1">
            <w:pPr>
              <w:tabs>
                <w:tab w:val="left" w:pos="540"/>
              </w:tabs>
              <w:autoSpaceDE w:val="0"/>
              <w:autoSpaceDN w:val="0"/>
              <w:adjustRightInd w:val="0"/>
              <w:spacing w:line="360" w:lineRule="auto"/>
              <w:jc w:val="left"/>
              <w:rPr>
                <w:rFonts w:eastAsiaTheme="minorEastAsia"/>
                <w:sz w:val="22"/>
                <w:szCs w:val="22"/>
                <w:highlight w:val="none"/>
              </w:rPr>
            </w:pPr>
            <w:r>
              <w:rPr>
                <w:rFonts w:eastAsiaTheme="minorEastAsia"/>
                <w:sz w:val="22"/>
                <w:szCs w:val="22"/>
                <w:highlight w:val="none"/>
              </w:rPr>
              <w:t>（1）测量范围：</w:t>
            </w:r>
            <w:r>
              <w:rPr>
                <w:rFonts w:hint="eastAsia" w:eastAsiaTheme="minorEastAsia"/>
                <w:sz w:val="22"/>
                <w:szCs w:val="22"/>
                <w:highlight w:val="none"/>
              </w:rPr>
              <w:t>2</w:t>
            </w:r>
            <w:r>
              <w:rPr>
                <w:rFonts w:eastAsiaTheme="minorEastAsia"/>
                <w:sz w:val="22"/>
                <w:szCs w:val="22"/>
                <w:highlight w:val="none"/>
              </w:rPr>
              <w:t>~</w:t>
            </w:r>
            <w:r>
              <w:rPr>
                <w:rFonts w:hint="eastAsia" w:eastAsiaTheme="minorEastAsia"/>
                <w:sz w:val="22"/>
                <w:szCs w:val="22"/>
                <w:highlight w:val="none"/>
              </w:rPr>
              <w:t>40</w:t>
            </w:r>
          </w:p>
          <w:p w14:paraId="562E036E">
            <w:pPr>
              <w:tabs>
                <w:tab w:val="left" w:pos="540"/>
              </w:tabs>
              <w:autoSpaceDE w:val="0"/>
              <w:autoSpaceDN w:val="0"/>
              <w:adjustRightInd w:val="0"/>
              <w:spacing w:line="360" w:lineRule="auto"/>
              <w:jc w:val="left"/>
              <w:rPr>
                <w:highlight w:val="none"/>
              </w:rPr>
            </w:pPr>
            <w:r>
              <w:rPr>
                <w:rFonts w:eastAsiaTheme="minorEastAsia"/>
                <w:sz w:val="22"/>
                <w:szCs w:val="22"/>
                <w:highlight w:val="none"/>
              </w:rPr>
              <w:t>（2）最大允许误差：±（1.5~2.5）%</w:t>
            </w:r>
          </w:p>
        </w:tc>
      </w:tr>
      <w:tr w14:paraId="60CA0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996" w:type="dxa"/>
            <w:vMerge w:val="continue"/>
            <w:vAlign w:val="center"/>
          </w:tcPr>
          <w:p w14:paraId="2F587FAE">
            <w:pPr>
              <w:jc w:val="center"/>
              <w:rPr>
                <w:highlight w:val="none"/>
              </w:rPr>
            </w:pPr>
          </w:p>
        </w:tc>
        <w:tc>
          <w:tcPr>
            <w:tcW w:w="2115" w:type="dxa"/>
            <w:vAlign w:val="center"/>
          </w:tcPr>
          <w:p w14:paraId="7127015D">
            <w:pPr>
              <w:jc w:val="center"/>
              <w:rPr>
                <w:highlight w:val="none"/>
              </w:rPr>
            </w:pPr>
            <w:r>
              <w:rPr>
                <w:rFonts w:hint="eastAsia"/>
                <w:highlight w:val="none"/>
              </w:rPr>
              <w:t>损耗角正切</w:t>
            </w:r>
          </w:p>
        </w:tc>
        <w:tc>
          <w:tcPr>
            <w:tcW w:w="4389" w:type="dxa"/>
            <w:vAlign w:val="center"/>
          </w:tcPr>
          <w:p w14:paraId="006C2DBF">
            <w:pPr>
              <w:tabs>
                <w:tab w:val="left" w:pos="540"/>
              </w:tabs>
              <w:autoSpaceDE w:val="0"/>
              <w:autoSpaceDN w:val="0"/>
              <w:adjustRightInd w:val="0"/>
              <w:spacing w:line="360" w:lineRule="auto"/>
              <w:jc w:val="left"/>
              <w:rPr>
                <w:rFonts w:eastAsiaTheme="minorEastAsia"/>
                <w:sz w:val="22"/>
                <w:szCs w:val="22"/>
                <w:highlight w:val="none"/>
              </w:rPr>
            </w:pPr>
            <w:r>
              <w:rPr>
                <w:rFonts w:eastAsiaTheme="minorEastAsia"/>
                <w:sz w:val="22"/>
                <w:szCs w:val="22"/>
                <w:highlight w:val="none"/>
              </w:rPr>
              <w:t>（1）测量范围: 0.0001~0.05</w:t>
            </w:r>
          </w:p>
          <w:p w14:paraId="5123ADA9">
            <w:pPr>
              <w:tabs>
                <w:tab w:val="left" w:pos="540"/>
              </w:tabs>
              <w:autoSpaceDE w:val="0"/>
              <w:autoSpaceDN w:val="0"/>
              <w:adjustRightInd w:val="0"/>
              <w:spacing w:line="360" w:lineRule="auto"/>
              <w:jc w:val="left"/>
              <w:rPr>
                <w:highlight w:val="none"/>
              </w:rPr>
            </w:pPr>
            <w:r>
              <w:rPr>
                <w:rFonts w:eastAsiaTheme="minorEastAsia"/>
                <w:sz w:val="22"/>
                <w:szCs w:val="22"/>
                <w:highlight w:val="none"/>
              </w:rPr>
              <w:t>（2）最大允许误差：±15% tanδ+0.0001</w:t>
            </w:r>
          </w:p>
        </w:tc>
      </w:tr>
      <w:tr w14:paraId="79D6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996" w:type="dxa"/>
            <w:vMerge w:val="restart"/>
            <w:vAlign w:val="center"/>
          </w:tcPr>
          <w:p w14:paraId="42359F3C">
            <w:pPr>
              <w:rPr>
                <w:highlight w:val="none"/>
              </w:rPr>
            </w:pPr>
            <w:r>
              <w:rPr>
                <w:rFonts w:hint="eastAsia"/>
                <w:highlight w:val="none"/>
              </w:rPr>
              <w:t>半球准光腔（B型）</w:t>
            </w:r>
          </w:p>
        </w:tc>
        <w:tc>
          <w:tcPr>
            <w:tcW w:w="2115" w:type="dxa"/>
            <w:vAlign w:val="center"/>
          </w:tcPr>
          <w:p w14:paraId="1E2A9000">
            <w:pPr>
              <w:jc w:val="center"/>
              <w:rPr>
                <w:highlight w:val="none"/>
              </w:rPr>
            </w:pPr>
            <w:r>
              <w:rPr>
                <w:rFonts w:eastAsiaTheme="minorEastAsia"/>
                <w:sz w:val="22"/>
                <w:szCs w:val="22"/>
                <w:highlight w:val="none"/>
              </w:rPr>
              <w:t>相对介电常数实部</w:t>
            </w:r>
          </w:p>
        </w:tc>
        <w:tc>
          <w:tcPr>
            <w:tcW w:w="4389" w:type="dxa"/>
            <w:vAlign w:val="center"/>
          </w:tcPr>
          <w:p w14:paraId="61E30340">
            <w:pPr>
              <w:tabs>
                <w:tab w:val="left" w:pos="540"/>
              </w:tabs>
              <w:autoSpaceDE w:val="0"/>
              <w:autoSpaceDN w:val="0"/>
              <w:adjustRightInd w:val="0"/>
              <w:spacing w:line="360" w:lineRule="auto"/>
              <w:jc w:val="left"/>
              <w:rPr>
                <w:rFonts w:eastAsiaTheme="minorEastAsia"/>
                <w:sz w:val="22"/>
                <w:szCs w:val="22"/>
                <w:highlight w:val="none"/>
              </w:rPr>
            </w:pPr>
            <w:r>
              <w:rPr>
                <w:rFonts w:eastAsiaTheme="minorEastAsia"/>
                <w:sz w:val="22"/>
                <w:szCs w:val="22"/>
                <w:highlight w:val="none"/>
              </w:rPr>
              <w:t>（1）测量范围：1.05~30</w:t>
            </w:r>
          </w:p>
          <w:p w14:paraId="5D009161">
            <w:pPr>
              <w:tabs>
                <w:tab w:val="left" w:pos="540"/>
              </w:tabs>
              <w:autoSpaceDE w:val="0"/>
              <w:autoSpaceDN w:val="0"/>
              <w:adjustRightInd w:val="0"/>
              <w:spacing w:line="360" w:lineRule="auto"/>
              <w:jc w:val="left"/>
              <w:rPr>
                <w:highlight w:val="none"/>
              </w:rPr>
            </w:pPr>
            <w:r>
              <w:rPr>
                <w:rFonts w:eastAsiaTheme="minorEastAsia"/>
                <w:sz w:val="22"/>
                <w:szCs w:val="22"/>
                <w:highlight w:val="none"/>
              </w:rPr>
              <w:t>（2）最大允许误差：±（1.5~2.5）%</w:t>
            </w:r>
          </w:p>
        </w:tc>
      </w:tr>
      <w:tr w14:paraId="58BF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996" w:type="dxa"/>
            <w:vMerge w:val="continue"/>
            <w:vAlign w:val="center"/>
          </w:tcPr>
          <w:p w14:paraId="25FCAC60">
            <w:pPr>
              <w:jc w:val="center"/>
              <w:rPr>
                <w:highlight w:val="none"/>
              </w:rPr>
            </w:pPr>
          </w:p>
        </w:tc>
        <w:tc>
          <w:tcPr>
            <w:tcW w:w="2115" w:type="dxa"/>
            <w:vAlign w:val="center"/>
          </w:tcPr>
          <w:p w14:paraId="696DB544">
            <w:pPr>
              <w:jc w:val="center"/>
              <w:rPr>
                <w:highlight w:val="none"/>
              </w:rPr>
            </w:pPr>
            <w:r>
              <w:rPr>
                <w:rFonts w:hint="eastAsia"/>
                <w:highlight w:val="none"/>
              </w:rPr>
              <w:t>损耗角正切</w:t>
            </w:r>
          </w:p>
        </w:tc>
        <w:tc>
          <w:tcPr>
            <w:tcW w:w="4389" w:type="dxa"/>
            <w:vAlign w:val="center"/>
          </w:tcPr>
          <w:p w14:paraId="30CFDC1A">
            <w:pPr>
              <w:tabs>
                <w:tab w:val="left" w:pos="540"/>
              </w:tabs>
              <w:autoSpaceDE w:val="0"/>
              <w:autoSpaceDN w:val="0"/>
              <w:adjustRightInd w:val="0"/>
              <w:spacing w:line="360" w:lineRule="auto"/>
              <w:jc w:val="left"/>
              <w:rPr>
                <w:rFonts w:eastAsiaTheme="minorEastAsia"/>
                <w:sz w:val="22"/>
                <w:szCs w:val="22"/>
                <w:highlight w:val="none"/>
              </w:rPr>
            </w:pPr>
            <w:r>
              <w:rPr>
                <w:rFonts w:eastAsiaTheme="minorEastAsia"/>
                <w:sz w:val="22"/>
                <w:szCs w:val="22"/>
                <w:highlight w:val="none"/>
              </w:rPr>
              <w:t>（1）测量范围: 0.0001~0.05</w:t>
            </w:r>
          </w:p>
          <w:p w14:paraId="313BA897">
            <w:pPr>
              <w:tabs>
                <w:tab w:val="left" w:pos="540"/>
              </w:tabs>
              <w:autoSpaceDE w:val="0"/>
              <w:autoSpaceDN w:val="0"/>
              <w:adjustRightInd w:val="0"/>
              <w:spacing w:line="360" w:lineRule="auto"/>
              <w:jc w:val="left"/>
              <w:rPr>
                <w:highlight w:val="none"/>
              </w:rPr>
            </w:pPr>
            <w:r>
              <w:rPr>
                <w:rFonts w:eastAsiaTheme="minorEastAsia"/>
                <w:sz w:val="22"/>
                <w:szCs w:val="22"/>
                <w:highlight w:val="none"/>
              </w:rPr>
              <w:t>（2）最大允许误差：±15% tanδ+0.0001</w:t>
            </w:r>
          </w:p>
        </w:tc>
      </w:tr>
      <w:tr w14:paraId="14FC7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996" w:type="dxa"/>
            <w:vMerge w:val="restart"/>
            <w:vAlign w:val="center"/>
          </w:tcPr>
          <w:p w14:paraId="41B30A20">
            <w:pPr>
              <w:jc w:val="center"/>
              <w:rPr>
                <w:highlight w:val="none"/>
              </w:rPr>
            </w:pPr>
            <w:r>
              <w:rPr>
                <w:rFonts w:hint="eastAsia"/>
                <w:highlight w:val="none"/>
              </w:rPr>
              <w:t>半共焦准光腔</w:t>
            </w:r>
          </w:p>
          <w:p w14:paraId="0C9854BB">
            <w:pPr>
              <w:jc w:val="center"/>
              <w:rPr>
                <w:highlight w:val="none"/>
              </w:rPr>
            </w:pPr>
            <w:r>
              <w:rPr>
                <w:rFonts w:hint="eastAsia"/>
                <w:highlight w:val="none"/>
              </w:rPr>
              <w:t>（</w:t>
            </w:r>
            <w:r>
              <w:rPr>
                <w:highlight w:val="none"/>
              </w:rPr>
              <w:t>C</w:t>
            </w:r>
            <w:r>
              <w:rPr>
                <w:rFonts w:hint="eastAsia"/>
                <w:highlight w:val="none"/>
              </w:rPr>
              <w:t>型）</w:t>
            </w:r>
          </w:p>
        </w:tc>
        <w:tc>
          <w:tcPr>
            <w:tcW w:w="2115" w:type="dxa"/>
            <w:vAlign w:val="center"/>
          </w:tcPr>
          <w:p w14:paraId="4AF73B03">
            <w:pPr>
              <w:jc w:val="center"/>
              <w:rPr>
                <w:highlight w:val="none"/>
              </w:rPr>
            </w:pPr>
            <w:r>
              <w:rPr>
                <w:rFonts w:eastAsiaTheme="minorEastAsia"/>
                <w:sz w:val="22"/>
                <w:szCs w:val="22"/>
                <w:highlight w:val="none"/>
              </w:rPr>
              <w:t>相对介电常数实部</w:t>
            </w:r>
          </w:p>
        </w:tc>
        <w:tc>
          <w:tcPr>
            <w:tcW w:w="4389" w:type="dxa"/>
            <w:vAlign w:val="center"/>
          </w:tcPr>
          <w:p w14:paraId="099FBAF5">
            <w:pPr>
              <w:tabs>
                <w:tab w:val="left" w:pos="540"/>
              </w:tabs>
              <w:autoSpaceDE w:val="0"/>
              <w:autoSpaceDN w:val="0"/>
              <w:adjustRightInd w:val="0"/>
              <w:spacing w:line="360" w:lineRule="auto"/>
              <w:jc w:val="left"/>
              <w:rPr>
                <w:rFonts w:eastAsiaTheme="minorEastAsia"/>
                <w:sz w:val="22"/>
                <w:szCs w:val="22"/>
                <w:highlight w:val="none"/>
              </w:rPr>
            </w:pPr>
            <w:r>
              <w:rPr>
                <w:rFonts w:eastAsiaTheme="minorEastAsia"/>
                <w:sz w:val="22"/>
                <w:szCs w:val="22"/>
                <w:highlight w:val="none"/>
              </w:rPr>
              <w:t>（1）测量范围：2~20</w:t>
            </w:r>
          </w:p>
          <w:p w14:paraId="4FD40CD0">
            <w:pPr>
              <w:tabs>
                <w:tab w:val="left" w:pos="540"/>
              </w:tabs>
              <w:autoSpaceDE w:val="0"/>
              <w:autoSpaceDN w:val="0"/>
              <w:adjustRightInd w:val="0"/>
              <w:spacing w:line="360" w:lineRule="auto"/>
              <w:jc w:val="left"/>
              <w:rPr>
                <w:rFonts w:eastAsiaTheme="minorEastAsia"/>
                <w:sz w:val="22"/>
                <w:szCs w:val="22"/>
                <w:highlight w:val="none"/>
              </w:rPr>
            </w:pPr>
            <w:r>
              <w:rPr>
                <w:rFonts w:eastAsiaTheme="minorEastAsia"/>
                <w:sz w:val="22"/>
                <w:szCs w:val="22"/>
                <w:highlight w:val="none"/>
              </w:rPr>
              <w:t>（2）最大允许误差：±2.5%</w:t>
            </w:r>
          </w:p>
        </w:tc>
      </w:tr>
      <w:tr w14:paraId="343D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996" w:type="dxa"/>
            <w:vMerge w:val="continue"/>
            <w:vAlign w:val="center"/>
          </w:tcPr>
          <w:p w14:paraId="3367C49D">
            <w:pPr>
              <w:jc w:val="center"/>
              <w:rPr>
                <w:highlight w:val="none"/>
              </w:rPr>
            </w:pPr>
          </w:p>
        </w:tc>
        <w:tc>
          <w:tcPr>
            <w:tcW w:w="2115" w:type="dxa"/>
            <w:vAlign w:val="center"/>
          </w:tcPr>
          <w:p w14:paraId="2EEE8E35">
            <w:pPr>
              <w:jc w:val="center"/>
              <w:rPr>
                <w:highlight w:val="none"/>
              </w:rPr>
            </w:pPr>
            <w:r>
              <w:rPr>
                <w:rFonts w:hint="eastAsia"/>
                <w:highlight w:val="none"/>
              </w:rPr>
              <w:t>损耗角正切</w:t>
            </w:r>
          </w:p>
        </w:tc>
        <w:tc>
          <w:tcPr>
            <w:tcW w:w="4389" w:type="dxa"/>
            <w:vAlign w:val="center"/>
          </w:tcPr>
          <w:p w14:paraId="10D2528F">
            <w:pPr>
              <w:tabs>
                <w:tab w:val="left" w:pos="540"/>
              </w:tabs>
              <w:autoSpaceDE w:val="0"/>
              <w:autoSpaceDN w:val="0"/>
              <w:adjustRightInd w:val="0"/>
              <w:spacing w:line="360" w:lineRule="auto"/>
              <w:jc w:val="left"/>
              <w:rPr>
                <w:rFonts w:eastAsiaTheme="minorEastAsia"/>
                <w:sz w:val="22"/>
                <w:szCs w:val="22"/>
                <w:highlight w:val="none"/>
              </w:rPr>
            </w:pPr>
            <w:r>
              <w:rPr>
                <w:rFonts w:eastAsiaTheme="minorEastAsia"/>
                <w:sz w:val="22"/>
                <w:szCs w:val="22"/>
                <w:highlight w:val="none"/>
              </w:rPr>
              <w:t>（1）测量范围: 0.0001~0.05</w:t>
            </w:r>
          </w:p>
          <w:p w14:paraId="6FB6007A">
            <w:pPr>
              <w:tabs>
                <w:tab w:val="left" w:pos="540"/>
              </w:tabs>
              <w:autoSpaceDE w:val="0"/>
              <w:autoSpaceDN w:val="0"/>
              <w:adjustRightInd w:val="0"/>
              <w:spacing w:line="360" w:lineRule="auto"/>
              <w:jc w:val="left"/>
              <w:rPr>
                <w:highlight w:val="none"/>
              </w:rPr>
            </w:pPr>
            <w:r>
              <w:rPr>
                <w:rFonts w:eastAsiaTheme="minorEastAsia"/>
                <w:sz w:val="22"/>
                <w:szCs w:val="22"/>
                <w:highlight w:val="none"/>
              </w:rPr>
              <w:t>（2）最大允许误差：±15% tanδ+0.0001</w:t>
            </w:r>
          </w:p>
        </w:tc>
      </w:tr>
    </w:tbl>
    <w:p w14:paraId="2D1719CF">
      <w:pPr>
        <w:pStyle w:val="2"/>
        <w:spacing w:before="120" w:beforeLines="50" w:after="0" w:line="360" w:lineRule="auto"/>
        <w:rPr>
          <w:rFonts w:eastAsiaTheme="minorEastAsia"/>
          <w:bCs w:val="0"/>
          <w:sz w:val="24"/>
          <w:szCs w:val="24"/>
          <w:highlight w:val="none"/>
        </w:rPr>
      </w:pPr>
      <w:bookmarkStart w:id="34" w:name="_Toc7529"/>
      <w:bookmarkStart w:id="35" w:name="_Toc7696"/>
      <w:bookmarkStart w:id="36" w:name="_Toc23687"/>
      <w:bookmarkStart w:id="37" w:name="_Toc26918"/>
      <w:r>
        <w:rPr>
          <w:rFonts w:eastAsiaTheme="minorEastAsia"/>
          <w:bCs w:val="0"/>
          <w:sz w:val="24"/>
          <w:szCs w:val="24"/>
          <w:highlight w:val="none"/>
        </w:rPr>
        <w:t xml:space="preserve">6 </w:t>
      </w:r>
      <w:r>
        <w:rPr>
          <w:rFonts w:hint="eastAsia" w:eastAsiaTheme="minorEastAsia"/>
          <w:bCs w:val="0"/>
          <w:sz w:val="24"/>
          <w:szCs w:val="24"/>
          <w:highlight w:val="none"/>
        </w:rPr>
        <w:t>校准</w:t>
      </w:r>
      <w:r>
        <w:rPr>
          <w:rFonts w:eastAsiaTheme="minorEastAsia"/>
          <w:bCs w:val="0"/>
          <w:sz w:val="24"/>
          <w:szCs w:val="24"/>
          <w:highlight w:val="none"/>
        </w:rPr>
        <w:t>条件</w:t>
      </w:r>
      <w:bookmarkEnd w:id="34"/>
      <w:bookmarkEnd w:id="35"/>
      <w:bookmarkEnd w:id="36"/>
      <w:bookmarkEnd w:id="37"/>
    </w:p>
    <w:p w14:paraId="45C4A64F">
      <w:pPr>
        <w:pStyle w:val="2"/>
        <w:spacing w:before="120" w:beforeLines="50" w:after="0" w:line="360" w:lineRule="auto"/>
        <w:rPr>
          <w:bCs w:val="0"/>
          <w:sz w:val="22"/>
          <w:szCs w:val="22"/>
          <w:highlight w:val="none"/>
        </w:rPr>
      </w:pPr>
      <w:r>
        <w:rPr>
          <w:rFonts w:hint="eastAsia"/>
          <w:bCs w:val="0"/>
          <w:sz w:val="22"/>
          <w:szCs w:val="22"/>
          <w:highlight w:val="none"/>
        </w:rPr>
        <w:t>6</w:t>
      </w:r>
      <w:r>
        <w:rPr>
          <w:bCs w:val="0"/>
          <w:sz w:val="22"/>
          <w:szCs w:val="22"/>
          <w:highlight w:val="none"/>
        </w:rPr>
        <w:t xml:space="preserve">.1 </w:t>
      </w:r>
      <w:r>
        <w:rPr>
          <w:rFonts w:hint="eastAsia"/>
          <w:bCs w:val="0"/>
          <w:sz w:val="22"/>
          <w:szCs w:val="22"/>
          <w:highlight w:val="none"/>
        </w:rPr>
        <w:t>环境条件</w:t>
      </w:r>
    </w:p>
    <w:p w14:paraId="6A45E593">
      <w:pPr>
        <w:tabs>
          <w:tab w:val="left" w:pos="540"/>
        </w:tabs>
        <w:autoSpaceDE w:val="0"/>
        <w:autoSpaceDN w:val="0"/>
        <w:adjustRightInd w:val="0"/>
        <w:spacing w:line="360" w:lineRule="auto"/>
        <w:rPr>
          <w:rFonts w:eastAsiaTheme="minorEastAsia"/>
          <w:sz w:val="22"/>
          <w:szCs w:val="22"/>
          <w:highlight w:val="none"/>
        </w:rPr>
      </w:pPr>
      <w:r>
        <w:rPr>
          <w:rFonts w:eastAsiaTheme="minorEastAsia"/>
          <w:sz w:val="22"/>
          <w:szCs w:val="22"/>
          <w:highlight w:val="none"/>
        </w:rPr>
        <w:t>6</w:t>
      </w:r>
      <w:r>
        <w:rPr>
          <w:rFonts w:eastAsiaTheme="minorEastAsia"/>
          <w:sz w:val="22"/>
          <w:szCs w:val="22"/>
          <w:highlight w:val="none"/>
          <w:lang w:val="zh-CN"/>
        </w:rPr>
        <w:t>.1.1</w:t>
      </w:r>
      <w:r>
        <w:rPr>
          <w:rFonts w:eastAsiaTheme="minorEastAsia"/>
          <w:sz w:val="22"/>
          <w:szCs w:val="22"/>
          <w:highlight w:val="none"/>
        </w:rPr>
        <w:t xml:space="preserve"> 环境温度：（25±2）</w:t>
      </w:r>
      <w:r>
        <w:rPr>
          <w:rFonts w:hint="eastAsia" w:ascii="宋体" w:hAnsi="宋体" w:cs="宋体"/>
          <w:sz w:val="22"/>
          <w:szCs w:val="22"/>
          <w:highlight w:val="none"/>
        </w:rPr>
        <w:t>℃</w:t>
      </w:r>
      <w:r>
        <w:rPr>
          <w:rFonts w:eastAsiaTheme="minorEastAsia"/>
          <w:sz w:val="22"/>
          <w:szCs w:val="22"/>
          <w:highlight w:val="none"/>
        </w:rPr>
        <w:t>。</w:t>
      </w:r>
    </w:p>
    <w:p w14:paraId="16852E44">
      <w:pPr>
        <w:tabs>
          <w:tab w:val="left" w:pos="540"/>
        </w:tabs>
        <w:autoSpaceDE w:val="0"/>
        <w:autoSpaceDN w:val="0"/>
        <w:adjustRightInd w:val="0"/>
        <w:spacing w:line="360" w:lineRule="auto"/>
        <w:rPr>
          <w:rFonts w:eastAsiaTheme="minorEastAsia"/>
          <w:sz w:val="22"/>
          <w:szCs w:val="22"/>
          <w:highlight w:val="none"/>
          <w:lang w:val="zh-CN"/>
        </w:rPr>
      </w:pPr>
      <w:r>
        <w:rPr>
          <w:rFonts w:eastAsiaTheme="minorEastAsia"/>
          <w:sz w:val="22"/>
          <w:szCs w:val="22"/>
          <w:highlight w:val="none"/>
        </w:rPr>
        <w:t xml:space="preserve">6.1.2 </w:t>
      </w:r>
      <w:r>
        <w:rPr>
          <w:rFonts w:eastAsiaTheme="minorEastAsia"/>
          <w:sz w:val="22"/>
          <w:szCs w:val="22"/>
          <w:highlight w:val="none"/>
          <w:lang w:val="zh-CN"/>
        </w:rPr>
        <w:t>相对湿度：20%</w:t>
      </w:r>
      <w:bookmarkStart w:id="38" w:name="_Hlk145430496"/>
      <w:r>
        <w:rPr>
          <w:rFonts w:eastAsiaTheme="minorEastAsia"/>
          <w:sz w:val="22"/>
          <w:szCs w:val="22"/>
          <w:highlight w:val="none"/>
          <w:lang w:val="zh-CN"/>
        </w:rPr>
        <w:t>RH</w:t>
      </w:r>
      <w:r>
        <w:rPr>
          <w:rFonts w:eastAsiaTheme="minorEastAsia"/>
          <w:sz w:val="22"/>
          <w:szCs w:val="22"/>
          <w:highlight w:val="none"/>
        </w:rPr>
        <w:t>~</w:t>
      </w:r>
      <w:bookmarkEnd w:id="38"/>
      <w:r>
        <w:rPr>
          <w:rFonts w:eastAsiaTheme="minorEastAsia"/>
          <w:sz w:val="22"/>
          <w:szCs w:val="22"/>
          <w:highlight w:val="none"/>
        </w:rPr>
        <w:t>60</w:t>
      </w:r>
      <w:r>
        <w:rPr>
          <w:rFonts w:eastAsiaTheme="minorEastAsia"/>
          <w:sz w:val="22"/>
          <w:szCs w:val="22"/>
          <w:highlight w:val="none"/>
          <w:lang w:val="zh-CN"/>
        </w:rPr>
        <w:t>%RH。</w:t>
      </w:r>
    </w:p>
    <w:p w14:paraId="0E4CB5D5">
      <w:pPr>
        <w:tabs>
          <w:tab w:val="left" w:pos="540"/>
        </w:tabs>
        <w:autoSpaceDE w:val="0"/>
        <w:autoSpaceDN w:val="0"/>
        <w:adjustRightInd w:val="0"/>
        <w:spacing w:line="360" w:lineRule="auto"/>
        <w:rPr>
          <w:rFonts w:eastAsiaTheme="minorEastAsia"/>
          <w:sz w:val="22"/>
          <w:szCs w:val="22"/>
          <w:highlight w:val="none"/>
          <w:lang w:val="zh-CN"/>
        </w:rPr>
      </w:pPr>
      <w:r>
        <w:rPr>
          <w:rFonts w:eastAsiaTheme="minorEastAsia"/>
          <w:sz w:val="22"/>
          <w:szCs w:val="22"/>
          <w:highlight w:val="none"/>
        </w:rPr>
        <w:t>6</w:t>
      </w:r>
      <w:r>
        <w:rPr>
          <w:rFonts w:eastAsiaTheme="minorEastAsia"/>
          <w:sz w:val="22"/>
          <w:szCs w:val="22"/>
          <w:highlight w:val="none"/>
          <w:lang w:val="zh-CN"/>
        </w:rPr>
        <w:t>.1.</w:t>
      </w:r>
      <w:r>
        <w:rPr>
          <w:rFonts w:eastAsiaTheme="minorEastAsia"/>
          <w:sz w:val="22"/>
          <w:szCs w:val="22"/>
          <w:highlight w:val="none"/>
        </w:rPr>
        <w:t>3 大气压力：</w:t>
      </w:r>
      <w:r>
        <w:rPr>
          <w:rFonts w:hint="eastAsia" w:eastAsiaTheme="minorEastAsia"/>
          <w:sz w:val="22"/>
          <w:szCs w:val="22"/>
          <w:highlight w:val="none"/>
        </w:rPr>
        <w:t xml:space="preserve">常压         </w:t>
      </w:r>
    </w:p>
    <w:p w14:paraId="2FE858AA">
      <w:pPr>
        <w:tabs>
          <w:tab w:val="left" w:pos="540"/>
        </w:tabs>
        <w:autoSpaceDE w:val="0"/>
        <w:autoSpaceDN w:val="0"/>
        <w:adjustRightInd w:val="0"/>
        <w:spacing w:line="360" w:lineRule="auto"/>
        <w:rPr>
          <w:rFonts w:eastAsiaTheme="minorEastAsia"/>
          <w:sz w:val="22"/>
          <w:szCs w:val="22"/>
          <w:highlight w:val="none"/>
        </w:rPr>
      </w:pPr>
      <w:r>
        <w:rPr>
          <w:rFonts w:eastAsiaTheme="minorEastAsia"/>
          <w:sz w:val="22"/>
          <w:szCs w:val="22"/>
          <w:highlight w:val="none"/>
        </w:rPr>
        <w:t>6</w:t>
      </w:r>
      <w:r>
        <w:rPr>
          <w:rFonts w:eastAsiaTheme="minorEastAsia"/>
          <w:sz w:val="22"/>
          <w:szCs w:val="22"/>
          <w:highlight w:val="none"/>
          <w:lang w:val="zh-CN"/>
        </w:rPr>
        <w:t>.1.</w:t>
      </w:r>
      <w:r>
        <w:rPr>
          <w:rFonts w:eastAsiaTheme="minorEastAsia"/>
          <w:sz w:val="22"/>
          <w:szCs w:val="22"/>
          <w:highlight w:val="none"/>
        </w:rPr>
        <w:t>4 其他：无影响正常校准工作的振动和电磁场干扰。</w:t>
      </w:r>
    </w:p>
    <w:p w14:paraId="5BEDAD0F">
      <w:pPr>
        <w:pStyle w:val="2"/>
        <w:spacing w:before="120" w:beforeLines="50" w:after="0" w:line="360" w:lineRule="auto"/>
        <w:rPr>
          <w:bCs w:val="0"/>
          <w:sz w:val="22"/>
          <w:szCs w:val="22"/>
          <w:highlight w:val="none"/>
        </w:rPr>
      </w:pPr>
      <w:r>
        <w:rPr>
          <w:rFonts w:hint="eastAsia"/>
          <w:bCs w:val="0"/>
          <w:sz w:val="22"/>
          <w:szCs w:val="22"/>
          <w:highlight w:val="none"/>
        </w:rPr>
        <w:t>6</w:t>
      </w:r>
      <w:r>
        <w:rPr>
          <w:bCs w:val="0"/>
          <w:sz w:val="22"/>
          <w:szCs w:val="22"/>
          <w:highlight w:val="none"/>
        </w:rPr>
        <w:t xml:space="preserve">.2 </w:t>
      </w:r>
      <w:r>
        <w:rPr>
          <w:rFonts w:hint="eastAsia"/>
          <w:bCs w:val="0"/>
          <w:sz w:val="22"/>
          <w:szCs w:val="22"/>
          <w:highlight w:val="none"/>
        </w:rPr>
        <w:t>测量标准（</w:t>
      </w:r>
      <w:r>
        <w:rPr>
          <w:bCs w:val="0"/>
          <w:sz w:val="22"/>
          <w:szCs w:val="22"/>
          <w:highlight w:val="none"/>
        </w:rPr>
        <w:t>固体电</w:t>
      </w:r>
      <w:r>
        <w:rPr>
          <w:rFonts w:hint="eastAsia"/>
          <w:bCs w:val="0"/>
          <w:sz w:val="22"/>
          <w:szCs w:val="22"/>
          <w:highlight w:val="none"/>
        </w:rPr>
        <w:t>介</w:t>
      </w:r>
      <w:r>
        <w:rPr>
          <w:bCs w:val="0"/>
          <w:sz w:val="22"/>
          <w:szCs w:val="22"/>
          <w:highlight w:val="none"/>
        </w:rPr>
        <w:t>质标样）</w:t>
      </w:r>
    </w:p>
    <w:p w14:paraId="62707B3A">
      <w:pPr>
        <w:jc w:val="center"/>
        <w:rPr>
          <w:b/>
          <w:bCs/>
          <w:highlight w:val="none"/>
        </w:rPr>
      </w:pPr>
      <w:r>
        <w:rPr>
          <w:rFonts w:hint="eastAsia"/>
          <w:b/>
          <w:bCs/>
          <w:highlight w:val="none"/>
        </w:rPr>
        <w:t>表2</w:t>
      </w:r>
      <w:r>
        <w:rPr>
          <w:b/>
          <w:bCs/>
          <w:highlight w:val="none"/>
        </w:rPr>
        <w:t xml:space="preserve"> </w:t>
      </w:r>
      <w:r>
        <w:rPr>
          <w:rFonts w:hint="eastAsia"/>
          <w:b/>
          <w:bCs/>
          <w:highlight w:val="none"/>
        </w:rPr>
        <w:t>测量标准统计表</w:t>
      </w:r>
    </w:p>
    <w:tbl>
      <w:tblPr>
        <w:tblStyle w:val="18"/>
        <w:tblW w:w="9493" w:type="dxa"/>
        <w:tblInd w:w="0" w:type="dxa"/>
        <w:tblLayout w:type="autofit"/>
        <w:tblCellMar>
          <w:top w:w="0" w:type="dxa"/>
          <w:left w:w="108" w:type="dxa"/>
          <w:bottom w:w="0" w:type="dxa"/>
          <w:right w:w="108" w:type="dxa"/>
        </w:tblCellMar>
      </w:tblPr>
      <w:tblGrid>
        <w:gridCol w:w="1653"/>
        <w:gridCol w:w="1716"/>
        <w:gridCol w:w="910"/>
        <w:gridCol w:w="1554"/>
        <w:gridCol w:w="1554"/>
        <w:gridCol w:w="2106"/>
      </w:tblGrid>
      <w:tr w14:paraId="6DB12CB7">
        <w:tblPrEx>
          <w:tblCellMar>
            <w:top w:w="0" w:type="dxa"/>
            <w:left w:w="108" w:type="dxa"/>
            <w:bottom w:w="0" w:type="dxa"/>
            <w:right w:w="108" w:type="dxa"/>
          </w:tblCellMar>
        </w:tblPrEx>
        <w:trPr>
          <w:trHeight w:val="422" w:hRule="atLeast"/>
        </w:trPr>
        <w:tc>
          <w:tcPr>
            <w:tcW w:w="16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DC5CAA">
            <w:pPr>
              <w:widowControl/>
              <w:jc w:val="center"/>
              <w:rPr>
                <w:kern w:val="0"/>
                <w:sz w:val="22"/>
                <w:szCs w:val="22"/>
                <w:highlight w:val="none"/>
              </w:rPr>
            </w:pPr>
            <w:r>
              <w:rPr>
                <w:rFonts w:hint="eastAsia" w:ascii="宋体" w:hAnsi="宋体" w:cs="宋体"/>
                <w:kern w:val="0"/>
                <w:sz w:val="22"/>
                <w:szCs w:val="22"/>
                <w:highlight w:val="none"/>
              </w:rPr>
              <w:t>校准项目</w:t>
            </w:r>
            <w:r>
              <w:rPr>
                <w:kern w:val="0"/>
                <w:sz w:val="22"/>
                <w:szCs w:val="22"/>
                <w:highlight w:val="none"/>
              </w:rPr>
              <w:t>/</w:t>
            </w:r>
          </w:p>
          <w:p w14:paraId="5E57F695">
            <w:pPr>
              <w:widowControl/>
              <w:jc w:val="center"/>
              <w:rPr>
                <w:rFonts w:ascii="宋体" w:hAnsi="宋体" w:cs="宋体"/>
                <w:kern w:val="0"/>
                <w:sz w:val="22"/>
                <w:szCs w:val="22"/>
                <w:highlight w:val="none"/>
              </w:rPr>
            </w:pPr>
            <w:r>
              <w:rPr>
                <w:rFonts w:hint="eastAsia" w:ascii="宋体" w:hAnsi="宋体" w:cs="宋体"/>
                <w:kern w:val="0"/>
                <w:sz w:val="22"/>
                <w:szCs w:val="22"/>
                <w:highlight w:val="none"/>
              </w:rPr>
              <w:t>标样名称</w:t>
            </w:r>
          </w:p>
        </w:tc>
        <w:tc>
          <w:tcPr>
            <w:tcW w:w="1637" w:type="dxa"/>
            <w:tcBorders>
              <w:top w:val="single" w:color="auto" w:sz="4" w:space="0"/>
              <w:left w:val="nil"/>
              <w:bottom w:val="single" w:color="auto" w:sz="4" w:space="0"/>
              <w:right w:val="single" w:color="auto" w:sz="4" w:space="0"/>
            </w:tcBorders>
            <w:shd w:val="clear" w:color="auto" w:fill="auto"/>
            <w:vAlign w:val="center"/>
          </w:tcPr>
          <w:p w14:paraId="6F9B9FBF">
            <w:pPr>
              <w:widowControl/>
              <w:jc w:val="center"/>
              <w:rPr>
                <w:rFonts w:ascii="宋体" w:hAnsi="宋体" w:cs="宋体"/>
                <w:kern w:val="0"/>
                <w:sz w:val="22"/>
                <w:szCs w:val="22"/>
                <w:highlight w:val="none"/>
              </w:rPr>
            </w:pPr>
            <w:r>
              <w:rPr>
                <w:rFonts w:hint="eastAsia" w:ascii="宋体" w:hAnsi="宋体" w:cs="宋体"/>
                <w:kern w:val="0"/>
                <w:sz w:val="22"/>
                <w:szCs w:val="22"/>
                <w:highlight w:val="none"/>
              </w:rPr>
              <w:t>测试频率</w:t>
            </w:r>
          </w:p>
        </w:tc>
        <w:tc>
          <w:tcPr>
            <w:tcW w:w="2474" w:type="dxa"/>
            <w:gridSpan w:val="2"/>
            <w:tcBorders>
              <w:top w:val="single" w:color="auto" w:sz="4" w:space="0"/>
              <w:left w:val="nil"/>
              <w:bottom w:val="single" w:color="auto" w:sz="4" w:space="0"/>
              <w:right w:val="single" w:color="auto" w:sz="4" w:space="0"/>
            </w:tcBorders>
            <w:shd w:val="clear" w:color="auto" w:fill="auto"/>
            <w:vAlign w:val="center"/>
          </w:tcPr>
          <w:p w14:paraId="404C58A0">
            <w:pPr>
              <w:widowControl/>
              <w:jc w:val="center"/>
              <w:rPr>
                <w:rFonts w:ascii="宋体" w:hAnsi="宋体" w:cs="宋体"/>
                <w:kern w:val="0"/>
                <w:sz w:val="22"/>
                <w:szCs w:val="22"/>
                <w:highlight w:val="none"/>
              </w:rPr>
            </w:pPr>
            <w:r>
              <w:rPr>
                <w:rFonts w:hint="eastAsia" w:ascii="宋体" w:hAnsi="宋体" w:cs="宋体"/>
                <w:kern w:val="0"/>
                <w:sz w:val="22"/>
                <w:szCs w:val="22"/>
                <w:highlight w:val="none"/>
              </w:rPr>
              <w:t>相对介电常数实部</w:t>
            </w:r>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14:paraId="4BF0BDE1">
            <w:pPr>
              <w:widowControl/>
              <w:jc w:val="center"/>
              <w:rPr>
                <w:rFonts w:ascii="宋体" w:hAnsi="宋体" w:cs="宋体"/>
                <w:kern w:val="0"/>
                <w:sz w:val="22"/>
                <w:szCs w:val="22"/>
                <w:highlight w:val="none"/>
              </w:rPr>
            </w:pPr>
            <w:r>
              <w:rPr>
                <w:rFonts w:hint="eastAsia" w:ascii="宋体" w:hAnsi="宋体" w:cs="宋体"/>
                <w:kern w:val="0"/>
                <w:sz w:val="22"/>
                <w:szCs w:val="22"/>
                <w:highlight w:val="none"/>
              </w:rPr>
              <w:t>损耗角正切</w:t>
            </w:r>
          </w:p>
        </w:tc>
      </w:tr>
      <w:tr w14:paraId="129FF3AF">
        <w:tblPrEx>
          <w:tblCellMar>
            <w:top w:w="0" w:type="dxa"/>
            <w:left w:w="108" w:type="dxa"/>
            <w:bottom w:w="0" w:type="dxa"/>
            <w:right w:w="108" w:type="dxa"/>
          </w:tblCellMar>
        </w:tblPrEx>
        <w:trPr>
          <w:trHeight w:val="430" w:hRule="atLeast"/>
        </w:trPr>
        <w:tc>
          <w:tcPr>
            <w:tcW w:w="1696" w:type="dxa"/>
            <w:vMerge w:val="continue"/>
            <w:tcBorders>
              <w:top w:val="single" w:color="auto" w:sz="4" w:space="0"/>
              <w:left w:val="single" w:color="auto" w:sz="4" w:space="0"/>
              <w:bottom w:val="single" w:color="auto" w:sz="4" w:space="0"/>
              <w:right w:val="single" w:color="auto" w:sz="4" w:space="0"/>
            </w:tcBorders>
            <w:vAlign w:val="center"/>
          </w:tcPr>
          <w:p w14:paraId="410D495D">
            <w:pPr>
              <w:widowControl/>
              <w:jc w:val="left"/>
              <w:rPr>
                <w:rFonts w:ascii="宋体" w:hAnsi="宋体" w:cs="宋体"/>
                <w:kern w:val="0"/>
                <w:sz w:val="22"/>
                <w:szCs w:val="22"/>
                <w:highlight w:val="none"/>
              </w:rPr>
            </w:pPr>
          </w:p>
        </w:tc>
        <w:tc>
          <w:tcPr>
            <w:tcW w:w="1637" w:type="dxa"/>
            <w:tcBorders>
              <w:top w:val="nil"/>
              <w:left w:val="nil"/>
              <w:bottom w:val="single" w:color="auto" w:sz="4" w:space="0"/>
              <w:right w:val="single" w:color="auto" w:sz="4" w:space="0"/>
            </w:tcBorders>
            <w:shd w:val="clear" w:color="auto" w:fill="auto"/>
            <w:vAlign w:val="center"/>
          </w:tcPr>
          <w:p w14:paraId="35C44961">
            <w:pPr>
              <w:widowControl/>
              <w:jc w:val="center"/>
              <w:rPr>
                <w:rFonts w:ascii="宋体" w:hAnsi="宋体" w:cs="宋体"/>
                <w:kern w:val="0"/>
                <w:sz w:val="22"/>
                <w:szCs w:val="22"/>
                <w:highlight w:val="none"/>
              </w:rPr>
            </w:pPr>
            <w:r>
              <w:rPr>
                <w:rFonts w:hint="eastAsia" w:ascii="宋体" w:hAnsi="宋体" w:cs="宋体"/>
                <w:kern w:val="0"/>
                <w:sz w:val="22"/>
                <w:szCs w:val="22"/>
                <w:highlight w:val="none"/>
              </w:rPr>
              <w:t>范围</w:t>
            </w:r>
          </w:p>
        </w:tc>
        <w:tc>
          <w:tcPr>
            <w:tcW w:w="915" w:type="dxa"/>
            <w:tcBorders>
              <w:top w:val="nil"/>
              <w:left w:val="nil"/>
              <w:bottom w:val="single" w:color="auto" w:sz="4" w:space="0"/>
              <w:right w:val="single" w:color="auto" w:sz="4" w:space="0"/>
            </w:tcBorders>
            <w:shd w:val="clear" w:color="auto" w:fill="auto"/>
            <w:vAlign w:val="center"/>
          </w:tcPr>
          <w:p w14:paraId="463FEAD9">
            <w:pPr>
              <w:widowControl/>
              <w:jc w:val="center"/>
              <w:rPr>
                <w:rFonts w:ascii="宋体" w:hAnsi="宋体" w:cs="宋体"/>
                <w:kern w:val="0"/>
                <w:sz w:val="22"/>
                <w:szCs w:val="22"/>
                <w:highlight w:val="none"/>
              </w:rPr>
            </w:pPr>
            <w:r>
              <w:rPr>
                <w:rFonts w:hint="eastAsia" w:ascii="宋体" w:hAnsi="宋体" w:cs="宋体"/>
                <w:kern w:val="0"/>
                <w:sz w:val="22"/>
                <w:szCs w:val="22"/>
                <w:highlight w:val="none"/>
              </w:rPr>
              <w:t>范围</w:t>
            </w:r>
          </w:p>
        </w:tc>
        <w:tc>
          <w:tcPr>
            <w:tcW w:w="1559" w:type="dxa"/>
            <w:tcBorders>
              <w:top w:val="nil"/>
              <w:left w:val="nil"/>
              <w:bottom w:val="single" w:color="auto" w:sz="4" w:space="0"/>
              <w:right w:val="single" w:color="auto" w:sz="4" w:space="0"/>
            </w:tcBorders>
            <w:shd w:val="clear" w:color="auto" w:fill="auto"/>
            <w:vAlign w:val="center"/>
          </w:tcPr>
          <w:p w14:paraId="1D217428">
            <w:pPr>
              <w:widowControl/>
              <w:jc w:val="center"/>
              <w:rPr>
                <w:rFonts w:ascii="宋体" w:hAnsi="宋体" w:cs="宋体"/>
                <w:b/>
                <w:bCs/>
                <w:color w:val="000000" w:themeColor="text1"/>
                <w:kern w:val="0"/>
                <w:sz w:val="22"/>
                <w:szCs w:val="22"/>
                <w:highlight w:val="none"/>
                <w14:textFill>
                  <w14:solidFill>
                    <w14:schemeClr w14:val="tx1"/>
                  </w14:solidFill>
                </w14:textFill>
              </w:rPr>
            </w:pPr>
            <w:r>
              <w:rPr>
                <w:rFonts w:hint="eastAsia" w:ascii="宋体" w:hAnsi="宋体" w:cs="宋体"/>
                <w:b/>
                <w:bCs/>
                <w:color w:val="000000" w:themeColor="text1"/>
                <w:kern w:val="0"/>
                <w:sz w:val="22"/>
                <w:szCs w:val="22"/>
                <w:highlight w:val="none"/>
                <w14:textFill>
                  <w14:solidFill>
                    <w14:schemeClr w14:val="tx1"/>
                  </w14:solidFill>
                </w14:textFill>
              </w:rPr>
              <w:t>扩展不确定度</w:t>
            </w:r>
          </w:p>
        </w:tc>
        <w:tc>
          <w:tcPr>
            <w:tcW w:w="1559" w:type="dxa"/>
            <w:tcBorders>
              <w:top w:val="nil"/>
              <w:left w:val="nil"/>
              <w:bottom w:val="single" w:color="auto" w:sz="4" w:space="0"/>
              <w:right w:val="single" w:color="auto" w:sz="4" w:space="0"/>
            </w:tcBorders>
            <w:shd w:val="clear" w:color="auto" w:fill="auto"/>
            <w:vAlign w:val="center"/>
          </w:tcPr>
          <w:p w14:paraId="2771D689">
            <w:pPr>
              <w:widowControl/>
              <w:jc w:val="center"/>
              <w:rPr>
                <w:rFonts w:ascii="宋体" w:hAnsi="宋体" w:cs="宋体"/>
                <w:color w:val="000000" w:themeColor="text1"/>
                <w:kern w:val="0"/>
                <w:sz w:val="22"/>
                <w:szCs w:val="22"/>
                <w:highlight w:val="none"/>
                <w14:textFill>
                  <w14:solidFill>
                    <w14:schemeClr w14:val="tx1"/>
                  </w14:solidFill>
                </w14:textFill>
              </w:rPr>
            </w:pPr>
            <w:r>
              <w:rPr>
                <w:rFonts w:hint="eastAsia" w:ascii="宋体" w:hAnsi="宋体" w:cs="宋体"/>
                <w:color w:val="000000" w:themeColor="text1"/>
                <w:kern w:val="0"/>
                <w:sz w:val="22"/>
                <w:szCs w:val="22"/>
                <w:highlight w:val="none"/>
                <w14:textFill>
                  <w14:solidFill>
                    <w14:schemeClr w14:val="tx1"/>
                  </w14:solidFill>
                </w14:textFill>
              </w:rPr>
              <w:t>范围</w:t>
            </w:r>
          </w:p>
        </w:tc>
        <w:tc>
          <w:tcPr>
            <w:tcW w:w="2127" w:type="dxa"/>
            <w:tcBorders>
              <w:top w:val="nil"/>
              <w:left w:val="nil"/>
              <w:bottom w:val="single" w:color="auto" w:sz="4" w:space="0"/>
              <w:right w:val="single" w:color="auto" w:sz="4" w:space="0"/>
            </w:tcBorders>
            <w:shd w:val="clear" w:color="auto" w:fill="auto"/>
            <w:vAlign w:val="center"/>
          </w:tcPr>
          <w:p w14:paraId="553FFB7E">
            <w:pPr>
              <w:widowControl/>
              <w:jc w:val="center"/>
              <w:rPr>
                <w:rFonts w:ascii="宋体" w:hAnsi="宋体" w:cs="宋体"/>
                <w:b/>
                <w:bCs/>
                <w:color w:val="000000" w:themeColor="text1"/>
                <w:kern w:val="0"/>
                <w:sz w:val="22"/>
                <w:szCs w:val="22"/>
                <w:highlight w:val="none"/>
                <w14:textFill>
                  <w14:solidFill>
                    <w14:schemeClr w14:val="tx1"/>
                  </w14:solidFill>
                </w14:textFill>
              </w:rPr>
            </w:pPr>
            <w:r>
              <w:rPr>
                <w:rFonts w:hint="eastAsia" w:ascii="宋体" w:hAnsi="宋体" w:cs="宋体"/>
                <w:b/>
                <w:bCs/>
                <w:color w:val="000000" w:themeColor="text1"/>
                <w:kern w:val="0"/>
                <w:sz w:val="22"/>
                <w:szCs w:val="22"/>
                <w:highlight w:val="none"/>
                <w14:textFill>
                  <w14:solidFill>
                    <w14:schemeClr w14:val="tx1"/>
                  </w14:solidFill>
                </w14:textFill>
              </w:rPr>
              <w:t>扩展不确定度</w:t>
            </w:r>
          </w:p>
        </w:tc>
      </w:tr>
      <w:tr w14:paraId="285D9AFB">
        <w:tblPrEx>
          <w:tblCellMar>
            <w:top w:w="0" w:type="dxa"/>
            <w:left w:w="108" w:type="dxa"/>
            <w:bottom w:w="0" w:type="dxa"/>
            <w:right w:w="108" w:type="dxa"/>
          </w:tblCellMar>
        </w:tblPrEx>
        <w:trPr>
          <w:trHeight w:val="595"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1D542B10">
            <w:pPr>
              <w:widowControl/>
              <w:jc w:val="center"/>
              <w:rPr>
                <w:rFonts w:ascii="宋体" w:hAnsi="宋体" w:cs="宋体"/>
                <w:kern w:val="0"/>
                <w:sz w:val="22"/>
                <w:szCs w:val="22"/>
                <w:highlight w:val="none"/>
              </w:rPr>
            </w:pPr>
            <w:r>
              <w:rPr>
                <w:rFonts w:hint="eastAsia" w:ascii="宋体" w:hAnsi="宋体" w:cs="宋体"/>
                <w:kern w:val="0"/>
                <w:sz w:val="22"/>
                <w:szCs w:val="22"/>
                <w:highlight w:val="none"/>
              </w:rPr>
              <w:t>单晶石英</w:t>
            </w:r>
          </w:p>
        </w:tc>
        <w:tc>
          <w:tcPr>
            <w:tcW w:w="1637" w:type="dxa"/>
            <w:tcBorders>
              <w:top w:val="nil"/>
              <w:left w:val="nil"/>
              <w:bottom w:val="single" w:color="auto" w:sz="4" w:space="0"/>
              <w:right w:val="single" w:color="auto" w:sz="4" w:space="0"/>
            </w:tcBorders>
            <w:shd w:val="clear" w:color="auto" w:fill="auto"/>
            <w:vAlign w:val="center"/>
          </w:tcPr>
          <w:p w14:paraId="4104B7EA">
            <w:pPr>
              <w:widowControl/>
              <w:jc w:val="center"/>
              <w:rPr>
                <w:kern w:val="0"/>
                <w:sz w:val="22"/>
                <w:szCs w:val="22"/>
                <w:highlight w:val="none"/>
              </w:rPr>
            </w:pPr>
            <w:r>
              <w:rPr>
                <w:kern w:val="0"/>
                <w:sz w:val="22"/>
                <w:szCs w:val="22"/>
                <w:highlight w:val="none"/>
              </w:rPr>
              <w:t>20GHz~110GHz</w:t>
            </w:r>
          </w:p>
        </w:tc>
        <w:tc>
          <w:tcPr>
            <w:tcW w:w="915" w:type="dxa"/>
            <w:tcBorders>
              <w:top w:val="nil"/>
              <w:left w:val="nil"/>
              <w:bottom w:val="single" w:color="auto" w:sz="4" w:space="0"/>
              <w:right w:val="single" w:color="auto" w:sz="4" w:space="0"/>
            </w:tcBorders>
            <w:shd w:val="clear" w:color="auto" w:fill="auto"/>
            <w:vAlign w:val="center"/>
          </w:tcPr>
          <w:p w14:paraId="6D106133">
            <w:pPr>
              <w:widowControl/>
              <w:jc w:val="center"/>
              <w:rPr>
                <w:kern w:val="0"/>
                <w:sz w:val="22"/>
                <w:szCs w:val="22"/>
                <w:highlight w:val="none"/>
              </w:rPr>
            </w:pPr>
            <w:r>
              <w:rPr>
                <w:kern w:val="0"/>
                <w:sz w:val="22"/>
                <w:szCs w:val="22"/>
                <w:highlight w:val="none"/>
              </w:rPr>
              <w:t>2~10</w:t>
            </w:r>
          </w:p>
        </w:tc>
        <w:tc>
          <w:tcPr>
            <w:tcW w:w="1559" w:type="dxa"/>
            <w:tcBorders>
              <w:top w:val="nil"/>
              <w:left w:val="nil"/>
              <w:bottom w:val="single" w:color="auto" w:sz="4" w:space="0"/>
              <w:right w:val="single" w:color="auto" w:sz="4" w:space="0"/>
            </w:tcBorders>
            <w:shd w:val="clear" w:color="auto" w:fill="auto"/>
            <w:vAlign w:val="center"/>
          </w:tcPr>
          <w:p w14:paraId="286DCF86">
            <w:pPr>
              <w:widowControl/>
              <w:jc w:val="center"/>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0.5%—1.0%</w:t>
            </w:r>
          </w:p>
        </w:tc>
        <w:tc>
          <w:tcPr>
            <w:tcW w:w="1559" w:type="dxa"/>
            <w:tcBorders>
              <w:top w:val="nil"/>
              <w:left w:val="nil"/>
              <w:bottom w:val="single" w:color="auto" w:sz="4" w:space="0"/>
              <w:right w:val="single" w:color="auto" w:sz="4" w:space="0"/>
            </w:tcBorders>
            <w:shd w:val="clear" w:color="auto" w:fill="auto"/>
            <w:vAlign w:val="center"/>
          </w:tcPr>
          <w:p w14:paraId="17BF1409">
            <w:pPr>
              <w:widowControl/>
              <w:jc w:val="center"/>
              <w:rPr>
                <w:color w:val="000000" w:themeColor="text1"/>
                <w:kern w:val="0"/>
                <w:sz w:val="22"/>
                <w:szCs w:val="22"/>
                <w:highlight w:val="none"/>
                <w14:textFill>
                  <w14:solidFill>
                    <w14:schemeClr w14:val="tx1"/>
                  </w14:solidFill>
                </w14:textFill>
              </w:rPr>
            </w:pPr>
            <w:r>
              <w:rPr>
                <w:color w:val="000000" w:themeColor="text1"/>
                <w:kern w:val="0"/>
                <w:sz w:val="22"/>
                <w:szCs w:val="22"/>
                <w:highlight w:val="none"/>
                <w14:textFill>
                  <w14:solidFill>
                    <w14:schemeClr w14:val="tx1"/>
                  </w14:solidFill>
                </w14:textFill>
              </w:rPr>
              <w:t>1.0E-04~0.05</w:t>
            </w:r>
          </w:p>
        </w:tc>
        <w:tc>
          <w:tcPr>
            <w:tcW w:w="2127" w:type="dxa"/>
            <w:tcBorders>
              <w:top w:val="nil"/>
              <w:left w:val="nil"/>
              <w:bottom w:val="single" w:color="auto" w:sz="4" w:space="0"/>
              <w:right w:val="single" w:color="auto" w:sz="4" w:space="0"/>
            </w:tcBorders>
            <w:shd w:val="clear" w:color="auto" w:fill="auto"/>
            <w:vAlign w:val="center"/>
          </w:tcPr>
          <w:p w14:paraId="18705445">
            <w:pPr>
              <w:widowControl/>
              <w:jc w:val="center"/>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2.5% tanδ+2.5E-05</w:t>
            </w:r>
          </w:p>
        </w:tc>
      </w:tr>
      <w:tr w14:paraId="3D43E50B">
        <w:tblPrEx>
          <w:tblCellMar>
            <w:top w:w="0" w:type="dxa"/>
            <w:left w:w="108" w:type="dxa"/>
            <w:bottom w:w="0" w:type="dxa"/>
            <w:right w:w="108" w:type="dxa"/>
          </w:tblCellMar>
        </w:tblPrEx>
        <w:trPr>
          <w:trHeight w:val="595"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2A0F66B4">
            <w:pPr>
              <w:widowControl/>
              <w:jc w:val="center"/>
              <w:rPr>
                <w:rFonts w:ascii="宋体" w:hAnsi="宋体" w:cs="宋体"/>
                <w:kern w:val="0"/>
                <w:sz w:val="22"/>
                <w:szCs w:val="22"/>
                <w:highlight w:val="none"/>
              </w:rPr>
            </w:pPr>
            <w:r>
              <w:rPr>
                <w:rFonts w:hint="eastAsia" w:ascii="宋体" w:hAnsi="宋体" w:cs="宋体"/>
                <w:kern w:val="0"/>
                <w:sz w:val="22"/>
                <w:szCs w:val="22"/>
                <w:highlight w:val="none"/>
              </w:rPr>
              <w:t>微波介质陶瓷</w:t>
            </w:r>
          </w:p>
        </w:tc>
        <w:tc>
          <w:tcPr>
            <w:tcW w:w="1637" w:type="dxa"/>
            <w:tcBorders>
              <w:top w:val="nil"/>
              <w:left w:val="nil"/>
              <w:bottom w:val="single" w:color="auto" w:sz="4" w:space="0"/>
              <w:right w:val="single" w:color="auto" w:sz="4" w:space="0"/>
            </w:tcBorders>
            <w:shd w:val="clear" w:color="auto" w:fill="auto"/>
            <w:vAlign w:val="center"/>
          </w:tcPr>
          <w:p w14:paraId="2BE3C0DD">
            <w:pPr>
              <w:widowControl/>
              <w:rPr>
                <w:kern w:val="0"/>
                <w:sz w:val="22"/>
                <w:szCs w:val="22"/>
                <w:highlight w:val="none"/>
              </w:rPr>
            </w:pPr>
            <w:r>
              <w:rPr>
                <w:kern w:val="0"/>
                <w:sz w:val="22"/>
                <w:szCs w:val="22"/>
                <w:highlight w:val="none"/>
              </w:rPr>
              <w:t>20GHz~110GHz</w:t>
            </w:r>
          </w:p>
        </w:tc>
        <w:tc>
          <w:tcPr>
            <w:tcW w:w="915" w:type="dxa"/>
            <w:tcBorders>
              <w:top w:val="nil"/>
              <w:left w:val="nil"/>
              <w:bottom w:val="single" w:color="auto" w:sz="4" w:space="0"/>
              <w:right w:val="single" w:color="auto" w:sz="4" w:space="0"/>
            </w:tcBorders>
            <w:shd w:val="clear" w:color="auto" w:fill="auto"/>
            <w:vAlign w:val="center"/>
          </w:tcPr>
          <w:p w14:paraId="5B6A9DF9">
            <w:pPr>
              <w:widowControl/>
              <w:jc w:val="center"/>
              <w:rPr>
                <w:kern w:val="0"/>
                <w:sz w:val="22"/>
                <w:szCs w:val="22"/>
                <w:highlight w:val="none"/>
              </w:rPr>
            </w:pPr>
            <w:r>
              <w:rPr>
                <w:kern w:val="0"/>
                <w:sz w:val="22"/>
                <w:szCs w:val="22"/>
                <w:highlight w:val="none"/>
              </w:rPr>
              <w:t>10~20</w:t>
            </w:r>
          </w:p>
        </w:tc>
        <w:tc>
          <w:tcPr>
            <w:tcW w:w="1559" w:type="dxa"/>
            <w:tcBorders>
              <w:top w:val="nil"/>
              <w:left w:val="nil"/>
              <w:bottom w:val="single" w:color="auto" w:sz="4" w:space="0"/>
              <w:right w:val="single" w:color="auto" w:sz="4" w:space="0"/>
            </w:tcBorders>
            <w:shd w:val="clear" w:color="auto" w:fill="auto"/>
            <w:vAlign w:val="center"/>
          </w:tcPr>
          <w:p w14:paraId="243B426F">
            <w:pPr>
              <w:widowControl/>
              <w:jc w:val="center"/>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0.5%—1.0%</w:t>
            </w:r>
          </w:p>
        </w:tc>
        <w:tc>
          <w:tcPr>
            <w:tcW w:w="1559" w:type="dxa"/>
            <w:tcBorders>
              <w:top w:val="nil"/>
              <w:left w:val="nil"/>
              <w:bottom w:val="single" w:color="auto" w:sz="4" w:space="0"/>
              <w:right w:val="single" w:color="auto" w:sz="4" w:space="0"/>
            </w:tcBorders>
            <w:shd w:val="clear" w:color="auto" w:fill="auto"/>
            <w:vAlign w:val="center"/>
          </w:tcPr>
          <w:p w14:paraId="10706229">
            <w:pPr>
              <w:widowControl/>
              <w:jc w:val="center"/>
              <w:rPr>
                <w:color w:val="000000" w:themeColor="text1"/>
                <w:kern w:val="0"/>
                <w:sz w:val="22"/>
                <w:szCs w:val="22"/>
                <w:highlight w:val="none"/>
                <w14:textFill>
                  <w14:solidFill>
                    <w14:schemeClr w14:val="tx1"/>
                  </w14:solidFill>
                </w14:textFill>
              </w:rPr>
            </w:pPr>
            <w:r>
              <w:rPr>
                <w:color w:val="000000" w:themeColor="text1"/>
                <w:kern w:val="0"/>
                <w:sz w:val="22"/>
                <w:szCs w:val="22"/>
                <w:highlight w:val="none"/>
                <w14:textFill>
                  <w14:solidFill>
                    <w14:schemeClr w14:val="tx1"/>
                  </w14:solidFill>
                </w14:textFill>
              </w:rPr>
              <w:t>1.0E-04~0.05</w:t>
            </w:r>
          </w:p>
        </w:tc>
        <w:tc>
          <w:tcPr>
            <w:tcW w:w="2127" w:type="dxa"/>
            <w:tcBorders>
              <w:top w:val="nil"/>
              <w:left w:val="nil"/>
              <w:bottom w:val="single" w:color="auto" w:sz="4" w:space="0"/>
              <w:right w:val="single" w:color="auto" w:sz="4" w:space="0"/>
            </w:tcBorders>
            <w:shd w:val="clear" w:color="auto" w:fill="auto"/>
            <w:vAlign w:val="center"/>
          </w:tcPr>
          <w:p w14:paraId="42727D76">
            <w:pPr>
              <w:widowControl/>
              <w:jc w:val="center"/>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2.5% tanδ+2.5E-05</w:t>
            </w:r>
          </w:p>
        </w:tc>
      </w:tr>
    </w:tbl>
    <w:p w14:paraId="3CB95560">
      <w:pPr>
        <w:pStyle w:val="2"/>
        <w:spacing w:before="120" w:beforeLines="50" w:after="0" w:line="360" w:lineRule="auto"/>
        <w:rPr>
          <w:bCs w:val="0"/>
          <w:highlight w:val="none"/>
        </w:rPr>
      </w:pPr>
      <w:bookmarkStart w:id="39" w:name="_Toc15429"/>
      <w:r>
        <w:rPr>
          <w:bCs w:val="0"/>
          <w:sz w:val="22"/>
          <w:szCs w:val="22"/>
          <w:highlight w:val="none"/>
        </w:rPr>
        <w:t>6.3</w:t>
      </w:r>
      <w:r>
        <w:rPr>
          <w:highlight w:val="none"/>
        </w:rPr>
        <w:t xml:space="preserve"> </w:t>
      </w:r>
      <w:r>
        <w:rPr>
          <w:rFonts w:hint="eastAsia"/>
          <w:bCs w:val="0"/>
          <w:sz w:val="22"/>
          <w:szCs w:val="22"/>
          <w:highlight w:val="none"/>
        </w:rPr>
        <w:t>其他</w:t>
      </w:r>
      <w:r>
        <w:rPr>
          <w:rFonts w:hint="eastAsia"/>
          <w:sz w:val="24"/>
          <w:szCs w:val="24"/>
          <w:highlight w:val="none"/>
        </w:rPr>
        <w:t>设备</w:t>
      </w:r>
    </w:p>
    <w:bookmarkEnd w:id="39"/>
    <w:p w14:paraId="2D0D2AAE">
      <w:pPr>
        <w:pStyle w:val="8"/>
        <w:spacing w:line="360" w:lineRule="auto"/>
        <w:ind w:left="210" w:leftChars="100" w:firstLine="422" w:firstLineChars="200"/>
        <w:jc w:val="center"/>
        <w:rPr>
          <w:rFonts w:hint="default" w:ascii="Times New Roman" w:hAnsi="Times New Roman" w:eastAsiaTheme="minorEastAsia"/>
          <w:b/>
          <w:szCs w:val="21"/>
          <w:highlight w:val="none"/>
        </w:rPr>
      </w:pPr>
      <w:r>
        <w:rPr>
          <w:rFonts w:hint="default" w:ascii="Times New Roman" w:hAnsi="Times New Roman" w:eastAsiaTheme="minorEastAsia"/>
          <w:b/>
          <w:szCs w:val="21"/>
          <w:highlight w:val="none"/>
        </w:rPr>
        <w:t>表3</w:t>
      </w:r>
      <w:r>
        <w:rPr>
          <w:rFonts w:ascii="Times New Roman" w:hAnsi="Times New Roman" w:eastAsiaTheme="minorEastAsia"/>
          <w:b/>
          <w:szCs w:val="21"/>
          <w:highlight w:val="none"/>
        </w:rPr>
        <w:t>其他</w:t>
      </w:r>
      <w:r>
        <w:rPr>
          <w:rFonts w:hint="default" w:ascii="Times New Roman" w:hAnsi="Times New Roman" w:eastAsiaTheme="minorEastAsia"/>
          <w:b/>
          <w:szCs w:val="21"/>
          <w:highlight w:val="none"/>
        </w:rPr>
        <w:t>设备</w:t>
      </w:r>
      <w:r>
        <w:rPr>
          <w:rFonts w:ascii="Times New Roman" w:hAnsi="Times New Roman" w:eastAsiaTheme="minorEastAsia"/>
          <w:b/>
          <w:szCs w:val="21"/>
          <w:highlight w:val="none"/>
        </w:rPr>
        <w:t>及</w:t>
      </w:r>
      <w:r>
        <w:rPr>
          <w:rFonts w:hint="default" w:ascii="Times New Roman" w:hAnsi="Times New Roman" w:eastAsiaTheme="minorEastAsia"/>
          <w:b/>
          <w:szCs w:val="21"/>
          <w:highlight w:val="none"/>
        </w:rPr>
        <w:t>校准规范</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7"/>
        <w:gridCol w:w="1465"/>
        <w:gridCol w:w="1807"/>
        <w:gridCol w:w="2221"/>
        <w:gridCol w:w="2480"/>
      </w:tblGrid>
      <w:tr w14:paraId="31F11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7" w:type="dxa"/>
            <w:shd w:val="clear" w:color="auto" w:fill="auto"/>
            <w:vAlign w:val="center"/>
          </w:tcPr>
          <w:p w14:paraId="6D2B10C7">
            <w:pPr>
              <w:pStyle w:val="8"/>
              <w:spacing w:line="360" w:lineRule="auto"/>
              <w:jc w:val="center"/>
              <w:rPr>
                <w:rFonts w:hint="default" w:hAnsi="宋体"/>
                <w:bCs/>
                <w:kern w:val="0"/>
                <w:sz w:val="22"/>
                <w:szCs w:val="22"/>
                <w:highlight w:val="none"/>
              </w:rPr>
            </w:pPr>
            <w:r>
              <w:rPr>
                <w:rFonts w:hint="default" w:hAnsi="宋体"/>
                <w:bCs/>
                <w:kern w:val="0"/>
                <w:sz w:val="22"/>
                <w:szCs w:val="22"/>
                <w:highlight w:val="none"/>
              </w:rPr>
              <w:t>序号</w:t>
            </w:r>
          </w:p>
        </w:tc>
        <w:tc>
          <w:tcPr>
            <w:tcW w:w="1465" w:type="dxa"/>
            <w:shd w:val="clear" w:color="auto" w:fill="auto"/>
            <w:vAlign w:val="center"/>
          </w:tcPr>
          <w:p w14:paraId="282F8BA5">
            <w:pPr>
              <w:pStyle w:val="8"/>
              <w:spacing w:line="360" w:lineRule="auto"/>
              <w:ind w:left="193" w:leftChars="3" w:hanging="187" w:hangingChars="85"/>
              <w:jc w:val="center"/>
              <w:rPr>
                <w:rFonts w:hint="default" w:hAnsi="宋体"/>
                <w:bCs/>
                <w:kern w:val="0"/>
                <w:sz w:val="22"/>
                <w:szCs w:val="22"/>
                <w:highlight w:val="none"/>
              </w:rPr>
            </w:pPr>
            <w:r>
              <w:rPr>
                <w:rFonts w:hint="default" w:hAnsi="宋体"/>
                <w:bCs/>
                <w:kern w:val="0"/>
                <w:sz w:val="22"/>
                <w:szCs w:val="22"/>
                <w:highlight w:val="none"/>
              </w:rPr>
              <w:t>主要设备</w:t>
            </w:r>
          </w:p>
        </w:tc>
        <w:tc>
          <w:tcPr>
            <w:tcW w:w="1807" w:type="dxa"/>
            <w:vAlign w:val="center"/>
          </w:tcPr>
          <w:p w14:paraId="430CFB67">
            <w:pPr>
              <w:pStyle w:val="8"/>
              <w:spacing w:line="360" w:lineRule="auto"/>
              <w:ind w:left="193" w:leftChars="3" w:hanging="187" w:hangingChars="85"/>
              <w:jc w:val="center"/>
              <w:rPr>
                <w:rFonts w:hint="default" w:hAnsi="宋体"/>
                <w:bCs/>
                <w:kern w:val="0"/>
                <w:sz w:val="22"/>
                <w:szCs w:val="22"/>
                <w:highlight w:val="none"/>
              </w:rPr>
            </w:pPr>
            <w:r>
              <w:rPr>
                <w:rFonts w:hint="default" w:hAnsi="宋体"/>
                <w:bCs/>
                <w:kern w:val="0"/>
                <w:sz w:val="22"/>
                <w:szCs w:val="22"/>
                <w:highlight w:val="none"/>
              </w:rPr>
              <w:t>测试项目</w:t>
            </w:r>
          </w:p>
        </w:tc>
        <w:tc>
          <w:tcPr>
            <w:tcW w:w="2221" w:type="dxa"/>
            <w:vAlign w:val="center"/>
          </w:tcPr>
          <w:p w14:paraId="64157CAD">
            <w:pPr>
              <w:pStyle w:val="8"/>
              <w:spacing w:line="360" w:lineRule="auto"/>
              <w:ind w:left="193" w:leftChars="3" w:hanging="187" w:hangingChars="85"/>
              <w:jc w:val="center"/>
              <w:rPr>
                <w:rFonts w:hint="default" w:hAnsi="宋体"/>
                <w:bCs/>
                <w:kern w:val="0"/>
                <w:sz w:val="22"/>
                <w:szCs w:val="22"/>
                <w:highlight w:val="none"/>
              </w:rPr>
            </w:pPr>
            <w:r>
              <w:rPr>
                <w:rFonts w:hint="default" w:hAnsi="宋体"/>
                <w:bCs/>
                <w:kern w:val="0"/>
                <w:sz w:val="22"/>
                <w:szCs w:val="22"/>
                <w:highlight w:val="none"/>
              </w:rPr>
              <w:t>测试要求</w:t>
            </w:r>
          </w:p>
        </w:tc>
        <w:tc>
          <w:tcPr>
            <w:tcW w:w="2480" w:type="dxa"/>
            <w:shd w:val="clear" w:color="auto" w:fill="auto"/>
            <w:vAlign w:val="center"/>
          </w:tcPr>
          <w:p w14:paraId="275CE605">
            <w:pPr>
              <w:pStyle w:val="8"/>
              <w:spacing w:line="360" w:lineRule="auto"/>
              <w:ind w:left="193" w:leftChars="3" w:hanging="187" w:hangingChars="85"/>
              <w:jc w:val="center"/>
              <w:rPr>
                <w:rFonts w:hint="default" w:hAnsi="宋体"/>
                <w:bCs/>
                <w:kern w:val="0"/>
                <w:sz w:val="22"/>
                <w:szCs w:val="22"/>
                <w:highlight w:val="none"/>
              </w:rPr>
            </w:pPr>
            <w:r>
              <w:rPr>
                <w:rFonts w:hint="default" w:hAnsi="宋体"/>
                <w:bCs/>
                <w:kern w:val="0"/>
                <w:sz w:val="22"/>
                <w:szCs w:val="22"/>
                <w:highlight w:val="none"/>
              </w:rPr>
              <w:t>设备校准规范</w:t>
            </w:r>
          </w:p>
        </w:tc>
      </w:tr>
      <w:tr w14:paraId="675E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7" w:type="dxa"/>
            <w:vMerge w:val="restart"/>
            <w:shd w:val="clear" w:color="auto" w:fill="auto"/>
            <w:vAlign w:val="center"/>
          </w:tcPr>
          <w:p w14:paraId="0988A0DB">
            <w:pPr>
              <w:pStyle w:val="8"/>
              <w:spacing w:line="360" w:lineRule="auto"/>
              <w:ind w:left="191" w:hanging="191" w:hangingChars="87"/>
              <w:jc w:val="center"/>
              <w:rPr>
                <w:rFonts w:hint="default" w:ascii="Times New Roman" w:hAnsi="Times New Roman"/>
                <w:bCs/>
                <w:kern w:val="0"/>
                <w:sz w:val="22"/>
                <w:szCs w:val="22"/>
                <w:highlight w:val="none"/>
              </w:rPr>
            </w:pPr>
            <w:r>
              <w:rPr>
                <w:rFonts w:hint="default" w:ascii="Times New Roman" w:hAnsi="Times New Roman"/>
                <w:bCs/>
                <w:kern w:val="0"/>
                <w:sz w:val="22"/>
                <w:szCs w:val="22"/>
                <w:highlight w:val="none"/>
              </w:rPr>
              <w:t>1</w:t>
            </w:r>
          </w:p>
        </w:tc>
        <w:tc>
          <w:tcPr>
            <w:tcW w:w="1465" w:type="dxa"/>
            <w:vMerge w:val="restart"/>
            <w:shd w:val="clear" w:color="auto" w:fill="auto"/>
            <w:vAlign w:val="center"/>
          </w:tcPr>
          <w:p w14:paraId="598FAD5A">
            <w:pPr>
              <w:pStyle w:val="8"/>
              <w:spacing w:line="360" w:lineRule="auto"/>
              <w:ind w:leftChars="-1" w:hanging="2"/>
              <w:jc w:val="center"/>
              <w:rPr>
                <w:rFonts w:hint="default" w:ascii="Times New Roman" w:hAnsi="Times New Roman"/>
                <w:bCs/>
                <w:kern w:val="0"/>
                <w:sz w:val="22"/>
                <w:szCs w:val="22"/>
                <w:highlight w:val="none"/>
              </w:rPr>
            </w:pPr>
            <w:r>
              <w:rPr>
                <w:rFonts w:hint="default" w:ascii="Times New Roman" w:hAnsi="Times New Roman"/>
                <w:sz w:val="22"/>
                <w:szCs w:val="22"/>
                <w:highlight w:val="none"/>
              </w:rPr>
              <w:t>网络分析仪</w:t>
            </w:r>
          </w:p>
        </w:tc>
        <w:tc>
          <w:tcPr>
            <w:tcW w:w="1807" w:type="dxa"/>
            <w:vAlign w:val="center"/>
          </w:tcPr>
          <w:p w14:paraId="77FA2D95">
            <w:pPr>
              <w:pStyle w:val="8"/>
              <w:spacing w:line="360" w:lineRule="auto"/>
              <w:ind w:left="193" w:leftChars="3" w:hanging="187" w:hangingChars="85"/>
              <w:jc w:val="center"/>
              <w:rPr>
                <w:rFonts w:hint="default" w:ascii="Times New Roman" w:hAnsi="Times New Roman"/>
                <w:bCs/>
                <w:kern w:val="0"/>
                <w:sz w:val="22"/>
                <w:szCs w:val="22"/>
                <w:highlight w:val="none"/>
              </w:rPr>
            </w:pPr>
            <w:r>
              <w:rPr>
                <w:rFonts w:hint="default" w:ascii="Times New Roman" w:hAnsi="Times New Roman"/>
                <w:bCs/>
                <w:kern w:val="0"/>
                <w:sz w:val="22"/>
                <w:szCs w:val="22"/>
                <w:highlight w:val="none"/>
              </w:rPr>
              <w:t>测试频率</w:t>
            </w:r>
          </w:p>
        </w:tc>
        <w:tc>
          <w:tcPr>
            <w:tcW w:w="2221" w:type="dxa"/>
            <w:vAlign w:val="center"/>
          </w:tcPr>
          <w:p w14:paraId="53B3AFCE">
            <w:pPr>
              <w:pStyle w:val="8"/>
              <w:spacing w:line="360" w:lineRule="auto"/>
              <w:ind w:left="184" w:leftChars="3" w:hanging="178" w:hangingChars="85"/>
              <w:jc w:val="center"/>
              <w:rPr>
                <w:rFonts w:hint="default" w:ascii="Times New Roman" w:hAnsi="Times New Roman"/>
                <w:bCs/>
                <w:kern w:val="0"/>
                <w:sz w:val="22"/>
                <w:szCs w:val="22"/>
                <w:highlight w:val="none"/>
              </w:rPr>
            </w:pPr>
            <w:r>
              <w:rPr>
                <w:rFonts w:hint="default" w:ascii="Times New Roman" w:hAnsi="Times New Roman"/>
                <w:highlight w:val="none"/>
              </w:rPr>
              <w:t>10 MHz~10 GHz</w:t>
            </w:r>
          </w:p>
        </w:tc>
        <w:tc>
          <w:tcPr>
            <w:tcW w:w="2480" w:type="dxa"/>
            <w:vMerge w:val="restart"/>
            <w:shd w:val="clear" w:color="auto" w:fill="auto"/>
            <w:vAlign w:val="center"/>
          </w:tcPr>
          <w:p w14:paraId="2F6C4349">
            <w:pPr>
              <w:pStyle w:val="8"/>
              <w:spacing w:line="360" w:lineRule="auto"/>
              <w:ind w:left="193" w:leftChars="3" w:hanging="187" w:hangingChars="85"/>
              <w:jc w:val="center"/>
              <w:rPr>
                <w:rFonts w:hint="default" w:ascii="Times New Roman" w:hAnsi="Times New Roman"/>
                <w:bCs/>
                <w:kern w:val="0"/>
                <w:sz w:val="22"/>
                <w:szCs w:val="22"/>
                <w:highlight w:val="none"/>
              </w:rPr>
            </w:pPr>
            <w:r>
              <w:rPr>
                <w:rFonts w:hint="default" w:ascii="Times New Roman" w:hAnsi="Times New Roman"/>
                <w:bCs/>
                <w:kern w:val="0"/>
                <w:sz w:val="22"/>
                <w:szCs w:val="22"/>
                <w:highlight w:val="none"/>
              </w:rPr>
              <w:t>参考JJF 1495-2014</w:t>
            </w:r>
          </w:p>
        </w:tc>
      </w:tr>
      <w:tr w14:paraId="5DD1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7" w:type="dxa"/>
            <w:vMerge w:val="continue"/>
            <w:shd w:val="clear" w:color="auto" w:fill="auto"/>
            <w:vAlign w:val="center"/>
          </w:tcPr>
          <w:p w14:paraId="1DFF5CF4">
            <w:pPr>
              <w:pStyle w:val="8"/>
              <w:spacing w:line="360" w:lineRule="auto"/>
              <w:ind w:left="191" w:hanging="191" w:hangingChars="87"/>
              <w:jc w:val="center"/>
              <w:rPr>
                <w:rFonts w:hint="default" w:ascii="Times New Roman" w:hAnsi="Times New Roman"/>
                <w:bCs/>
                <w:kern w:val="0"/>
                <w:sz w:val="22"/>
                <w:szCs w:val="22"/>
                <w:highlight w:val="none"/>
              </w:rPr>
            </w:pPr>
          </w:p>
        </w:tc>
        <w:tc>
          <w:tcPr>
            <w:tcW w:w="1465" w:type="dxa"/>
            <w:vMerge w:val="continue"/>
            <w:shd w:val="clear" w:color="auto" w:fill="auto"/>
            <w:vAlign w:val="center"/>
          </w:tcPr>
          <w:p w14:paraId="689DC744">
            <w:pPr>
              <w:pStyle w:val="8"/>
              <w:spacing w:line="360" w:lineRule="auto"/>
              <w:ind w:leftChars="-1" w:hanging="2"/>
              <w:jc w:val="center"/>
              <w:rPr>
                <w:rFonts w:hint="default" w:ascii="Times New Roman" w:hAnsi="Times New Roman"/>
                <w:sz w:val="22"/>
                <w:szCs w:val="22"/>
                <w:highlight w:val="none"/>
              </w:rPr>
            </w:pPr>
          </w:p>
        </w:tc>
        <w:tc>
          <w:tcPr>
            <w:tcW w:w="1807" w:type="dxa"/>
            <w:vAlign w:val="center"/>
          </w:tcPr>
          <w:p w14:paraId="07F2789D">
            <w:pPr>
              <w:pStyle w:val="8"/>
              <w:spacing w:line="360" w:lineRule="auto"/>
              <w:ind w:left="193" w:leftChars="3" w:hanging="187" w:hangingChars="85"/>
              <w:jc w:val="center"/>
              <w:rPr>
                <w:rFonts w:hint="default" w:ascii="Times New Roman" w:hAnsi="Times New Roman"/>
                <w:bCs/>
                <w:kern w:val="0"/>
                <w:sz w:val="22"/>
                <w:szCs w:val="22"/>
                <w:highlight w:val="none"/>
              </w:rPr>
            </w:pPr>
            <w:r>
              <w:rPr>
                <w:rFonts w:hint="default" w:ascii="Times New Roman" w:hAnsi="Times New Roman"/>
                <w:bCs/>
                <w:kern w:val="0"/>
                <w:sz w:val="22"/>
                <w:szCs w:val="22"/>
                <w:highlight w:val="none"/>
              </w:rPr>
              <w:t>动态范围</w:t>
            </w:r>
          </w:p>
        </w:tc>
        <w:tc>
          <w:tcPr>
            <w:tcW w:w="2221" w:type="dxa"/>
            <w:vAlign w:val="center"/>
          </w:tcPr>
          <w:p w14:paraId="7C09CAA4">
            <w:pPr>
              <w:pStyle w:val="8"/>
              <w:spacing w:line="360" w:lineRule="auto"/>
              <w:ind w:left="184" w:leftChars="3" w:hanging="178" w:hangingChars="85"/>
              <w:jc w:val="center"/>
              <w:rPr>
                <w:rFonts w:hint="default" w:ascii="Times New Roman" w:hAnsi="Times New Roman"/>
                <w:bCs/>
                <w:kern w:val="0"/>
                <w:sz w:val="22"/>
                <w:szCs w:val="22"/>
                <w:highlight w:val="none"/>
              </w:rPr>
            </w:pPr>
            <w:r>
              <w:rPr>
                <w:rFonts w:hint="default" w:ascii="Times New Roman" w:hAnsi="Times New Roman"/>
                <w:highlight w:val="none"/>
              </w:rPr>
              <w:t>≥100 dB</w:t>
            </w:r>
          </w:p>
        </w:tc>
        <w:tc>
          <w:tcPr>
            <w:tcW w:w="2480" w:type="dxa"/>
            <w:vMerge w:val="continue"/>
            <w:shd w:val="clear" w:color="auto" w:fill="auto"/>
            <w:vAlign w:val="center"/>
          </w:tcPr>
          <w:p w14:paraId="1EAFEAD8">
            <w:pPr>
              <w:pStyle w:val="8"/>
              <w:spacing w:line="360" w:lineRule="auto"/>
              <w:ind w:left="193" w:leftChars="3" w:hanging="187" w:hangingChars="85"/>
              <w:jc w:val="center"/>
              <w:rPr>
                <w:rFonts w:hint="default" w:ascii="Times New Roman" w:hAnsi="Times New Roman"/>
                <w:bCs/>
                <w:kern w:val="0"/>
                <w:sz w:val="22"/>
                <w:szCs w:val="22"/>
                <w:highlight w:val="none"/>
              </w:rPr>
            </w:pPr>
          </w:p>
        </w:tc>
      </w:tr>
      <w:tr w14:paraId="435C3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7" w:type="dxa"/>
            <w:vMerge w:val="continue"/>
            <w:shd w:val="clear" w:color="auto" w:fill="auto"/>
            <w:vAlign w:val="center"/>
          </w:tcPr>
          <w:p w14:paraId="3A83AABD">
            <w:pPr>
              <w:pStyle w:val="8"/>
              <w:spacing w:line="360" w:lineRule="auto"/>
              <w:ind w:left="191" w:hanging="191" w:hangingChars="87"/>
              <w:jc w:val="center"/>
              <w:rPr>
                <w:rFonts w:hint="default" w:ascii="Times New Roman" w:hAnsi="Times New Roman"/>
                <w:bCs/>
                <w:kern w:val="0"/>
                <w:sz w:val="22"/>
                <w:szCs w:val="22"/>
                <w:highlight w:val="none"/>
              </w:rPr>
            </w:pPr>
          </w:p>
        </w:tc>
        <w:tc>
          <w:tcPr>
            <w:tcW w:w="1465" w:type="dxa"/>
            <w:vMerge w:val="continue"/>
            <w:shd w:val="clear" w:color="auto" w:fill="auto"/>
            <w:vAlign w:val="center"/>
          </w:tcPr>
          <w:p w14:paraId="6839F4CB">
            <w:pPr>
              <w:pStyle w:val="8"/>
              <w:spacing w:line="360" w:lineRule="auto"/>
              <w:ind w:left="193" w:leftChars="3" w:hanging="187" w:hangingChars="85"/>
              <w:jc w:val="center"/>
              <w:rPr>
                <w:rFonts w:hint="default" w:ascii="Times New Roman" w:hAnsi="Times New Roman"/>
                <w:sz w:val="22"/>
                <w:szCs w:val="22"/>
                <w:highlight w:val="none"/>
              </w:rPr>
            </w:pPr>
          </w:p>
        </w:tc>
        <w:tc>
          <w:tcPr>
            <w:tcW w:w="1807" w:type="dxa"/>
            <w:vAlign w:val="center"/>
          </w:tcPr>
          <w:p w14:paraId="1270EB50">
            <w:pPr>
              <w:pStyle w:val="8"/>
              <w:spacing w:line="360" w:lineRule="auto"/>
              <w:ind w:left="193" w:leftChars="3" w:hanging="187" w:hangingChars="85"/>
              <w:jc w:val="center"/>
              <w:rPr>
                <w:rFonts w:hint="default" w:ascii="Times New Roman" w:hAnsi="Times New Roman"/>
                <w:bCs/>
                <w:kern w:val="0"/>
                <w:sz w:val="22"/>
                <w:szCs w:val="22"/>
                <w:highlight w:val="none"/>
              </w:rPr>
            </w:pPr>
            <w:r>
              <w:rPr>
                <w:rFonts w:hint="default" w:ascii="Times New Roman" w:hAnsi="Times New Roman"/>
                <w:bCs/>
                <w:kern w:val="0"/>
                <w:sz w:val="22"/>
                <w:szCs w:val="22"/>
                <w:highlight w:val="none"/>
              </w:rPr>
              <w:t>方向性</w:t>
            </w:r>
          </w:p>
        </w:tc>
        <w:tc>
          <w:tcPr>
            <w:tcW w:w="2221" w:type="dxa"/>
            <w:vAlign w:val="center"/>
          </w:tcPr>
          <w:p w14:paraId="11000E31">
            <w:pPr>
              <w:pStyle w:val="8"/>
              <w:spacing w:line="360" w:lineRule="auto"/>
              <w:ind w:left="184" w:leftChars="3" w:hanging="178" w:hangingChars="85"/>
              <w:jc w:val="center"/>
              <w:rPr>
                <w:rFonts w:hint="default" w:ascii="Times New Roman" w:hAnsi="Times New Roman"/>
                <w:bCs/>
                <w:kern w:val="0"/>
                <w:sz w:val="22"/>
                <w:szCs w:val="22"/>
                <w:highlight w:val="none"/>
              </w:rPr>
            </w:pPr>
            <w:r>
              <w:rPr>
                <w:rFonts w:hint="default" w:ascii="Times New Roman" w:hAnsi="Times New Roman"/>
                <w:highlight w:val="none"/>
              </w:rPr>
              <w:t>≤ 50 dB</w:t>
            </w:r>
          </w:p>
        </w:tc>
        <w:tc>
          <w:tcPr>
            <w:tcW w:w="2480" w:type="dxa"/>
            <w:vMerge w:val="continue"/>
            <w:shd w:val="clear" w:color="auto" w:fill="auto"/>
            <w:vAlign w:val="center"/>
          </w:tcPr>
          <w:p w14:paraId="4A2D3522">
            <w:pPr>
              <w:pStyle w:val="8"/>
              <w:spacing w:line="360" w:lineRule="auto"/>
              <w:ind w:left="193" w:leftChars="3" w:hanging="187" w:hangingChars="85"/>
              <w:jc w:val="center"/>
              <w:rPr>
                <w:rFonts w:hint="default" w:ascii="Times New Roman" w:hAnsi="Times New Roman"/>
                <w:bCs/>
                <w:kern w:val="0"/>
                <w:sz w:val="22"/>
                <w:szCs w:val="22"/>
                <w:highlight w:val="none"/>
              </w:rPr>
            </w:pPr>
          </w:p>
        </w:tc>
      </w:tr>
      <w:tr w14:paraId="12A2D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7" w:type="dxa"/>
            <w:vMerge w:val="continue"/>
            <w:shd w:val="clear" w:color="auto" w:fill="auto"/>
            <w:vAlign w:val="center"/>
          </w:tcPr>
          <w:p w14:paraId="42B1B5A5">
            <w:pPr>
              <w:pStyle w:val="8"/>
              <w:spacing w:line="360" w:lineRule="auto"/>
              <w:ind w:left="191" w:hanging="191" w:hangingChars="87"/>
              <w:jc w:val="center"/>
              <w:rPr>
                <w:rFonts w:hint="default" w:ascii="Times New Roman" w:hAnsi="Times New Roman"/>
                <w:bCs/>
                <w:kern w:val="0"/>
                <w:sz w:val="22"/>
                <w:szCs w:val="22"/>
                <w:highlight w:val="none"/>
              </w:rPr>
            </w:pPr>
          </w:p>
        </w:tc>
        <w:tc>
          <w:tcPr>
            <w:tcW w:w="1465" w:type="dxa"/>
            <w:vMerge w:val="continue"/>
            <w:shd w:val="clear" w:color="auto" w:fill="auto"/>
            <w:vAlign w:val="center"/>
          </w:tcPr>
          <w:p w14:paraId="36925FB9">
            <w:pPr>
              <w:pStyle w:val="8"/>
              <w:spacing w:line="360" w:lineRule="auto"/>
              <w:ind w:left="193" w:leftChars="3" w:hanging="187" w:hangingChars="85"/>
              <w:jc w:val="center"/>
              <w:rPr>
                <w:rFonts w:hint="default" w:ascii="Times New Roman" w:hAnsi="Times New Roman"/>
                <w:sz w:val="22"/>
                <w:szCs w:val="22"/>
                <w:highlight w:val="none"/>
              </w:rPr>
            </w:pPr>
          </w:p>
        </w:tc>
        <w:tc>
          <w:tcPr>
            <w:tcW w:w="1807" w:type="dxa"/>
            <w:vAlign w:val="center"/>
          </w:tcPr>
          <w:p w14:paraId="286EFB73">
            <w:pPr>
              <w:pStyle w:val="8"/>
              <w:spacing w:line="360" w:lineRule="auto"/>
              <w:ind w:left="193" w:leftChars="3" w:hanging="187" w:hangingChars="85"/>
              <w:jc w:val="center"/>
              <w:rPr>
                <w:rFonts w:hint="default" w:ascii="Times New Roman" w:hAnsi="Times New Roman"/>
                <w:bCs/>
                <w:kern w:val="0"/>
                <w:sz w:val="22"/>
                <w:szCs w:val="22"/>
                <w:highlight w:val="none"/>
              </w:rPr>
            </w:pPr>
            <w:r>
              <w:rPr>
                <w:rFonts w:hint="default" w:ascii="Times New Roman" w:hAnsi="Times New Roman"/>
                <w:bCs/>
                <w:kern w:val="0"/>
                <w:sz w:val="22"/>
                <w:szCs w:val="22"/>
                <w:highlight w:val="none"/>
              </w:rPr>
              <w:t>频率准确度</w:t>
            </w:r>
          </w:p>
        </w:tc>
        <w:tc>
          <w:tcPr>
            <w:tcW w:w="2221" w:type="dxa"/>
            <w:vAlign w:val="center"/>
          </w:tcPr>
          <w:p w14:paraId="44B129F1">
            <w:pPr>
              <w:pStyle w:val="8"/>
              <w:spacing w:line="360" w:lineRule="auto"/>
              <w:ind w:left="184" w:leftChars="3" w:hanging="178" w:hangingChars="85"/>
              <w:jc w:val="center"/>
              <w:rPr>
                <w:rFonts w:hint="default" w:ascii="Times New Roman" w:hAnsi="Times New Roman"/>
                <w:bCs/>
                <w:kern w:val="0"/>
                <w:sz w:val="22"/>
                <w:szCs w:val="22"/>
                <w:highlight w:val="none"/>
              </w:rPr>
            </w:pPr>
            <w:r>
              <w:rPr>
                <w:rFonts w:hint="default" w:ascii="Times New Roman" w:hAnsi="Times New Roman"/>
                <w:highlight w:val="none"/>
              </w:rPr>
              <w:t>±10 ppm</w:t>
            </w:r>
          </w:p>
        </w:tc>
        <w:tc>
          <w:tcPr>
            <w:tcW w:w="2480" w:type="dxa"/>
            <w:vMerge w:val="continue"/>
            <w:shd w:val="clear" w:color="auto" w:fill="auto"/>
            <w:vAlign w:val="center"/>
          </w:tcPr>
          <w:p w14:paraId="5BA2E11C">
            <w:pPr>
              <w:pStyle w:val="8"/>
              <w:spacing w:line="360" w:lineRule="auto"/>
              <w:ind w:left="193" w:leftChars="3" w:hanging="187" w:hangingChars="85"/>
              <w:jc w:val="center"/>
              <w:rPr>
                <w:rFonts w:hint="default" w:ascii="Times New Roman" w:hAnsi="Times New Roman"/>
                <w:bCs/>
                <w:kern w:val="0"/>
                <w:sz w:val="22"/>
                <w:szCs w:val="22"/>
                <w:highlight w:val="none"/>
              </w:rPr>
            </w:pPr>
          </w:p>
        </w:tc>
      </w:tr>
      <w:tr w14:paraId="529D2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7" w:type="dxa"/>
            <w:vMerge w:val="continue"/>
            <w:shd w:val="clear" w:color="auto" w:fill="auto"/>
            <w:vAlign w:val="center"/>
          </w:tcPr>
          <w:p w14:paraId="0B597A81">
            <w:pPr>
              <w:pStyle w:val="8"/>
              <w:spacing w:line="360" w:lineRule="auto"/>
              <w:ind w:left="191" w:hanging="191" w:hangingChars="87"/>
              <w:jc w:val="center"/>
              <w:rPr>
                <w:rFonts w:hint="default" w:ascii="Times New Roman" w:hAnsi="Times New Roman"/>
                <w:bCs/>
                <w:kern w:val="0"/>
                <w:sz w:val="22"/>
                <w:szCs w:val="22"/>
                <w:highlight w:val="none"/>
              </w:rPr>
            </w:pPr>
          </w:p>
        </w:tc>
        <w:tc>
          <w:tcPr>
            <w:tcW w:w="1465" w:type="dxa"/>
            <w:vMerge w:val="continue"/>
            <w:shd w:val="clear" w:color="auto" w:fill="auto"/>
            <w:vAlign w:val="center"/>
          </w:tcPr>
          <w:p w14:paraId="02BD6655">
            <w:pPr>
              <w:pStyle w:val="8"/>
              <w:spacing w:line="360" w:lineRule="auto"/>
              <w:ind w:left="193" w:leftChars="3" w:hanging="187" w:hangingChars="85"/>
              <w:jc w:val="center"/>
              <w:rPr>
                <w:rFonts w:hint="default" w:ascii="Times New Roman" w:hAnsi="Times New Roman"/>
                <w:sz w:val="22"/>
                <w:szCs w:val="22"/>
                <w:highlight w:val="none"/>
              </w:rPr>
            </w:pPr>
          </w:p>
        </w:tc>
        <w:tc>
          <w:tcPr>
            <w:tcW w:w="1807" w:type="dxa"/>
            <w:vAlign w:val="center"/>
          </w:tcPr>
          <w:p w14:paraId="370B7896">
            <w:pPr>
              <w:pStyle w:val="8"/>
              <w:spacing w:line="360" w:lineRule="auto"/>
              <w:ind w:left="193" w:leftChars="3" w:hanging="187" w:hangingChars="85"/>
              <w:jc w:val="center"/>
              <w:rPr>
                <w:rFonts w:hint="default" w:ascii="Times New Roman" w:hAnsi="Times New Roman"/>
                <w:bCs/>
                <w:kern w:val="0"/>
                <w:sz w:val="22"/>
                <w:szCs w:val="22"/>
                <w:highlight w:val="none"/>
              </w:rPr>
            </w:pPr>
            <w:r>
              <w:rPr>
                <w:rFonts w:hint="default" w:ascii="Times New Roman" w:hAnsi="Times New Roman"/>
                <w:bCs/>
                <w:kern w:val="0"/>
                <w:sz w:val="22"/>
                <w:szCs w:val="22"/>
                <w:highlight w:val="none"/>
              </w:rPr>
              <w:t>S</w:t>
            </w:r>
            <w:r>
              <w:rPr>
                <w:rFonts w:hint="default" w:ascii="Times New Roman" w:hAnsi="Times New Roman"/>
                <w:bCs/>
                <w:kern w:val="0"/>
                <w:sz w:val="22"/>
                <w:szCs w:val="22"/>
                <w:highlight w:val="none"/>
                <w:vertAlign w:val="subscript"/>
              </w:rPr>
              <w:t>21</w:t>
            </w:r>
            <w:r>
              <w:rPr>
                <w:rFonts w:hint="default" w:ascii="Times New Roman" w:hAnsi="Times New Roman"/>
                <w:bCs/>
                <w:kern w:val="0"/>
                <w:sz w:val="22"/>
                <w:szCs w:val="22"/>
                <w:highlight w:val="none"/>
              </w:rPr>
              <w:t>幅度</w:t>
            </w:r>
          </w:p>
        </w:tc>
        <w:tc>
          <w:tcPr>
            <w:tcW w:w="2221" w:type="dxa"/>
            <w:vAlign w:val="center"/>
          </w:tcPr>
          <w:p w14:paraId="4E1DE4B1">
            <w:pPr>
              <w:pStyle w:val="8"/>
              <w:spacing w:line="360" w:lineRule="auto"/>
              <w:ind w:left="184" w:leftChars="3" w:hanging="178" w:hangingChars="85"/>
              <w:jc w:val="center"/>
              <w:rPr>
                <w:rFonts w:hint="default" w:ascii="Times New Roman" w:hAnsi="Times New Roman"/>
                <w:bCs/>
                <w:kern w:val="0"/>
                <w:sz w:val="22"/>
                <w:szCs w:val="22"/>
                <w:highlight w:val="none"/>
              </w:rPr>
            </w:pPr>
            <w:r>
              <w:rPr>
                <w:rFonts w:hint="default" w:ascii="Times New Roman" w:hAnsi="Times New Roman"/>
                <w:highlight w:val="none"/>
              </w:rPr>
              <w:t>≤0.009</w:t>
            </w:r>
          </w:p>
        </w:tc>
        <w:tc>
          <w:tcPr>
            <w:tcW w:w="2480" w:type="dxa"/>
            <w:vMerge w:val="continue"/>
            <w:shd w:val="clear" w:color="auto" w:fill="auto"/>
            <w:vAlign w:val="center"/>
          </w:tcPr>
          <w:p w14:paraId="6BDB2EBE">
            <w:pPr>
              <w:pStyle w:val="8"/>
              <w:spacing w:line="360" w:lineRule="auto"/>
              <w:ind w:left="193" w:leftChars="3" w:hanging="187" w:hangingChars="85"/>
              <w:jc w:val="center"/>
              <w:rPr>
                <w:rFonts w:hint="default" w:ascii="Times New Roman" w:hAnsi="Times New Roman"/>
                <w:bCs/>
                <w:kern w:val="0"/>
                <w:sz w:val="22"/>
                <w:szCs w:val="22"/>
                <w:highlight w:val="none"/>
              </w:rPr>
            </w:pPr>
          </w:p>
        </w:tc>
      </w:tr>
      <w:tr w14:paraId="17457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7" w:type="dxa"/>
            <w:shd w:val="clear" w:color="auto" w:fill="auto"/>
            <w:vAlign w:val="center"/>
          </w:tcPr>
          <w:p w14:paraId="717D4929">
            <w:pPr>
              <w:pStyle w:val="8"/>
              <w:spacing w:line="360" w:lineRule="auto"/>
              <w:ind w:left="191" w:hanging="191" w:hangingChars="87"/>
              <w:jc w:val="center"/>
              <w:rPr>
                <w:rFonts w:hint="default" w:ascii="Times New Roman" w:hAnsi="Times New Roman"/>
                <w:bCs/>
                <w:kern w:val="0"/>
                <w:sz w:val="22"/>
                <w:szCs w:val="22"/>
                <w:highlight w:val="none"/>
              </w:rPr>
            </w:pPr>
            <w:r>
              <w:rPr>
                <w:rFonts w:hint="default" w:ascii="Times New Roman" w:hAnsi="Times New Roman"/>
                <w:bCs/>
                <w:kern w:val="0"/>
                <w:sz w:val="22"/>
                <w:szCs w:val="22"/>
                <w:highlight w:val="none"/>
              </w:rPr>
              <w:t>2</w:t>
            </w:r>
          </w:p>
        </w:tc>
        <w:tc>
          <w:tcPr>
            <w:tcW w:w="1465" w:type="dxa"/>
            <w:shd w:val="clear" w:color="auto" w:fill="auto"/>
            <w:vAlign w:val="center"/>
          </w:tcPr>
          <w:p w14:paraId="6E6C9171">
            <w:pPr>
              <w:pStyle w:val="8"/>
              <w:spacing w:line="360" w:lineRule="auto"/>
              <w:ind w:left="193" w:leftChars="3" w:hanging="187" w:hangingChars="85"/>
              <w:jc w:val="center"/>
              <w:rPr>
                <w:rFonts w:hint="default" w:ascii="Times New Roman" w:hAnsi="Times New Roman"/>
                <w:sz w:val="22"/>
                <w:szCs w:val="22"/>
                <w:highlight w:val="none"/>
              </w:rPr>
            </w:pPr>
            <w:r>
              <w:rPr>
                <w:rFonts w:hint="default" w:ascii="Times New Roman" w:hAnsi="Times New Roman"/>
                <w:sz w:val="22"/>
                <w:szCs w:val="22"/>
                <w:highlight w:val="none"/>
              </w:rPr>
              <w:t>千分尺</w:t>
            </w:r>
          </w:p>
        </w:tc>
        <w:tc>
          <w:tcPr>
            <w:tcW w:w="1807" w:type="dxa"/>
            <w:vAlign w:val="center"/>
          </w:tcPr>
          <w:p w14:paraId="56149D73">
            <w:pPr>
              <w:pStyle w:val="8"/>
              <w:spacing w:line="360" w:lineRule="auto"/>
              <w:ind w:left="193" w:leftChars="3" w:hanging="187" w:hangingChars="85"/>
              <w:jc w:val="center"/>
              <w:rPr>
                <w:rFonts w:hint="default" w:ascii="Times New Roman" w:hAnsi="Times New Roman"/>
                <w:bCs/>
                <w:kern w:val="0"/>
                <w:sz w:val="22"/>
                <w:szCs w:val="22"/>
                <w:highlight w:val="none"/>
              </w:rPr>
            </w:pPr>
            <w:r>
              <w:rPr>
                <w:rFonts w:hint="default" w:ascii="Times New Roman" w:hAnsi="Times New Roman"/>
                <w:bCs/>
                <w:kern w:val="0"/>
                <w:sz w:val="22"/>
                <w:szCs w:val="22"/>
                <w:highlight w:val="none"/>
              </w:rPr>
              <w:t>读数分辨率</w:t>
            </w:r>
          </w:p>
        </w:tc>
        <w:tc>
          <w:tcPr>
            <w:tcW w:w="2221" w:type="dxa"/>
            <w:vAlign w:val="center"/>
          </w:tcPr>
          <w:p w14:paraId="6FE9394A">
            <w:pPr>
              <w:pStyle w:val="8"/>
              <w:spacing w:line="360" w:lineRule="auto"/>
              <w:ind w:left="193" w:leftChars="3" w:hanging="187" w:hangingChars="85"/>
              <w:jc w:val="center"/>
              <w:rPr>
                <w:rFonts w:hint="default" w:ascii="Times New Roman" w:hAnsi="Times New Roman"/>
                <w:bCs/>
                <w:kern w:val="0"/>
                <w:sz w:val="22"/>
                <w:szCs w:val="22"/>
                <w:highlight w:val="none"/>
              </w:rPr>
            </w:pPr>
            <w:r>
              <w:rPr>
                <w:rFonts w:hint="default" w:ascii="Times New Roman" w:hAnsi="Times New Roman"/>
                <w:bCs/>
                <w:kern w:val="0"/>
                <w:sz w:val="22"/>
                <w:szCs w:val="22"/>
                <w:highlight w:val="none"/>
              </w:rPr>
              <w:t>≤0.001 mm</w:t>
            </w:r>
          </w:p>
        </w:tc>
        <w:tc>
          <w:tcPr>
            <w:tcW w:w="2480" w:type="dxa"/>
            <w:shd w:val="clear" w:color="auto" w:fill="auto"/>
            <w:vAlign w:val="center"/>
          </w:tcPr>
          <w:p w14:paraId="6147B707">
            <w:pPr>
              <w:pStyle w:val="8"/>
              <w:spacing w:line="360" w:lineRule="auto"/>
              <w:ind w:left="193" w:leftChars="3" w:hanging="187" w:hangingChars="85"/>
              <w:jc w:val="center"/>
              <w:rPr>
                <w:rFonts w:hint="default" w:ascii="Times New Roman" w:hAnsi="Times New Roman"/>
                <w:bCs/>
                <w:kern w:val="0"/>
                <w:sz w:val="22"/>
                <w:szCs w:val="22"/>
                <w:highlight w:val="none"/>
              </w:rPr>
            </w:pPr>
            <w:r>
              <w:rPr>
                <w:rFonts w:hint="default" w:ascii="Times New Roman" w:hAnsi="Times New Roman"/>
                <w:bCs/>
                <w:kern w:val="0"/>
                <w:sz w:val="22"/>
                <w:szCs w:val="22"/>
                <w:highlight w:val="none"/>
              </w:rPr>
              <w:t>参考JJG 21-2008</w:t>
            </w:r>
          </w:p>
        </w:tc>
      </w:tr>
    </w:tbl>
    <w:p w14:paraId="6FB6AF15">
      <w:pPr>
        <w:autoSpaceDE w:val="0"/>
        <w:autoSpaceDN w:val="0"/>
        <w:adjustRightInd w:val="0"/>
        <w:spacing w:before="120" w:beforeLines="50" w:line="360" w:lineRule="auto"/>
        <w:ind w:firstLine="440" w:firstLineChars="200"/>
        <w:jc w:val="left"/>
        <w:rPr>
          <w:rFonts w:eastAsiaTheme="minorEastAsia"/>
          <w:bCs/>
          <w:sz w:val="22"/>
          <w:szCs w:val="22"/>
          <w:highlight w:val="none"/>
        </w:rPr>
      </w:pPr>
      <w:r>
        <w:rPr>
          <w:rFonts w:eastAsiaTheme="minorEastAsia"/>
          <w:bCs/>
          <w:sz w:val="22"/>
          <w:szCs w:val="22"/>
          <w:highlight w:val="none"/>
        </w:rPr>
        <w:t>测试前，需保证测试所用的设备经过校准，符合本规范要求。需依据表3所示的设备校准规范对测试设备进行校准。</w:t>
      </w:r>
    </w:p>
    <w:p w14:paraId="67ABB97E">
      <w:pPr>
        <w:pStyle w:val="2"/>
        <w:spacing w:before="120" w:beforeLines="50" w:after="0" w:line="360" w:lineRule="auto"/>
        <w:rPr>
          <w:rFonts w:eastAsiaTheme="minorEastAsia"/>
          <w:bCs w:val="0"/>
          <w:sz w:val="24"/>
          <w:szCs w:val="24"/>
          <w:highlight w:val="none"/>
        </w:rPr>
      </w:pPr>
      <w:bookmarkStart w:id="40" w:name="_Toc17936"/>
      <w:bookmarkStart w:id="41" w:name="_Toc25919"/>
      <w:bookmarkStart w:id="42" w:name="_Toc9852"/>
      <w:bookmarkStart w:id="43" w:name="_Toc6252"/>
      <w:r>
        <w:rPr>
          <w:rFonts w:eastAsiaTheme="minorEastAsia"/>
          <w:bCs w:val="0"/>
          <w:sz w:val="24"/>
          <w:szCs w:val="24"/>
          <w:highlight w:val="none"/>
        </w:rPr>
        <w:t xml:space="preserve">7 </w:t>
      </w:r>
      <w:r>
        <w:rPr>
          <w:rFonts w:hint="eastAsia" w:eastAsiaTheme="minorEastAsia"/>
          <w:bCs w:val="0"/>
          <w:sz w:val="24"/>
          <w:szCs w:val="24"/>
          <w:highlight w:val="none"/>
        </w:rPr>
        <w:t>校准项目和校准</w:t>
      </w:r>
      <w:r>
        <w:rPr>
          <w:rFonts w:eastAsiaTheme="minorEastAsia"/>
          <w:bCs w:val="0"/>
          <w:sz w:val="24"/>
          <w:szCs w:val="24"/>
          <w:highlight w:val="none"/>
        </w:rPr>
        <w:t>方法</w:t>
      </w:r>
      <w:bookmarkEnd w:id="40"/>
      <w:bookmarkEnd w:id="41"/>
      <w:bookmarkEnd w:id="42"/>
      <w:bookmarkEnd w:id="43"/>
    </w:p>
    <w:p w14:paraId="3D9B0019">
      <w:pPr>
        <w:autoSpaceDE w:val="0"/>
        <w:autoSpaceDN w:val="0"/>
        <w:adjustRightInd w:val="0"/>
        <w:spacing w:line="360" w:lineRule="auto"/>
        <w:ind w:left="2240" w:hanging="2240"/>
        <w:rPr>
          <w:b/>
          <w:bCs/>
          <w:sz w:val="22"/>
          <w:szCs w:val="28"/>
          <w:highlight w:val="none"/>
        </w:rPr>
      </w:pPr>
      <w:bookmarkStart w:id="44" w:name="_Toc359"/>
      <w:bookmarkStart w:id="45" w:name="_Toc1200"/>
      <w:bookmarkStart w:id="46" w:name="_Toc21395"/>
      <w:bookmarkStart w:id="47" w:name="_Toc20788"/>
      <w:bookmarkStart w:id="48" w:name="_Toc26048"/>
      <w:bookmarkStart w:id="49" w:name="_Toc8227"/>
      <w:bookmarkStart w:id="50" w:name="_Toc5446"/>
      <w:bookmarkStart w:id="51" w:name="_Hlk145604365"/>
      <w:r>
        <w:rPr>
          <w:b/>
          <w:bCs/>
          <w:sz w:val="22"/>
          <w:szCs w:val="28"/>
          <w:highlight w:val="none"/>
        </w:rPr>
        <w:t xml:space="preserve">7.1 </w:t>
      </w:r>
      <w:r>
        <w:rPr>
          <w:rFonts w:hint="eastAsia"/>
          <w:b/>
          <w:bCs/>
          <w:sz w:val="22"/>
          <w:szCs w:val="28"/>
          <w:highlight w:val="none"/>
        </w:rPr>
        <w:t>校准项目</w:t>
      </w:r>
    </w:p>
    <w:bookmarkEnd w:id="44"/>
    <w:p w14:paraId="7E5F8B35">
      <w:pPr>
        <w:autoSpaceDE w:val="0"/>
        <w:autoSpaceDN w:val="0"/>
        <w:adjustRightInd w:val="0"/>
        <w:spacing w:line="360" w:lineRule="auto"/>
        <w:jc w:val="left"/>
        <w:rPr>
          <w:rFonts w:eastAsiaTheme="minorEastAsia"/>
          <w:bCs/>
          <w:sz w:val="22"/>
          <w:szCs w:val="22"/>
          <w:highlight w:val="none"/>
        </w:rPr>
      </w:pPr>
      <w:r>
        <w:rPr>
          <w:rFonts w:eastAsiaTheme="minorEastAsia"/>
          <w:bCs/>
          <w:sz w:val="22"/>
          <w:szCs w:val="22"/>
          <w:highlight w:val="none"/>
        </w:rPr>
        <w:t xml:space="preserve">7.1.1 </w:t>
      </w:r>
      <w:r>
        <w:rPr>
          <w:rFonts w:hint="eastAsia" w:eastAsiaTheme="minorEastAsia"/>
          <w:bCs/>
          <w:sz w:val="22"/>
          <w:szCs w:val="22"/>
          <w:highlight w:val="none"/>
        </w:rPr>
        <w:t>相对介电常数实部</w:t>
      </w:r>
    </w:p>
    <w:p w14:paraId="64D60A4E">
      <w:pPr>
        <w:autoSpaceDE w:val="0"/>
        <w:autoSpaceDN w:val="0"/>
        <w:adjustRightInd w:val="0"/>
        <w:spacing w:line="360" w:lineRule="auto"/>
        <w:jc w:val="left"/>
        <w:rPr>
          <w:rFonts w:eastAsiaTheme="minorEastAsia"/>
          <w:bCs/>
          <w:sz w:val="22"/>
          <w:szCs w:val="22"/>
          <w:highlight w:val="none"/>
        </w:rPr>
      </w:pPr>
      <w:r>
        <w:rPr>
          <w:rFonts w:hint="eastAsia" w:eastAsiaTheme="minorEastAsia"/>
          <w:bCs/>
          <w:sz w:val="22"/>
          <w:szCs w:val="22"/>
          <w:highlight w:val="none"/>
        </w:rPr>
        <w:t>7</w:t>
      </w:r>
      <w:r>
        <w:rPr>
          <w:rFonts w:eastAsiaTheme="minorEastAsia"/>
          <w:bCs/>
          <w:sz w:val="22"/>
          <w:szCs w:val="22"/>
          <w:highlight w:val="none"/>
        </w:rPr>
        <w:t xml:space="preserve">.1.2 </w:t>
      </w:r>
      <w:r>
        <w:rPr>
          <w:rFonts w:hint="eastAsia" w:eastAsiaTheme="minorEastAsia"/>
          <w:bCs/>
          <w:sz w:val="22"/>
          <w:szCs w:val="22"/>
          <w:highlight w:val="none"/>
        </w:rPr>
        <w:t>损耗角正切</w:t>
      </w:r>
    </w:p>
    <w:p w14:paraId="1210E002">
      <w:pPr>
        <w:autoSpaceDE w:val="0"/>
        <w:autoSpaceDN w:val="0"/>
        <w:adjustRightInd w:val="0"/>
        <w:spacing w:line="360" w:lineRule="auto"/>
        <w:jc w:val="left"/>
        <w:rPr>
          <w:rFonts w:eastAsiaTheme="minorEastAsia"/>
          <w:b/>
          <w:sz w:val="22"/>
          <w:szCs w:val="22"/>
          <w:highlight w:val="none"/>
        </w:rPr>
      </w:pPr>
      <w:r>
        <w:rPr>
          <w:rFonts w:hint="eastAsia" w:eastAsiaTheme="minorEastAsia"/>
          <w:b/>
          <w:sz w:val="22"/>
          <w:szCs w:val="22"/>
          <w:highlight w:val="none"/>
        </w:rPr>
        <w:t>7</w:t>
      </w:r>
      <w:r>
        <w:rPr>
          <w:rFonts w:eastAsiaTheme="minorEastAsia"/>
          <w:b/>
          <w:sz w:val="22"/>
          <w:szCs w:val="22"/>
          <w:highlight w:val="none"/>
        </w:rPr>
        <w:t xml:space="preserve">.2 </w:t>
      </w:r>
      <w:r>
        <w:rPr>
          <w:rFonts w:hint="eastAsia" w:eastAsiaTheme="minorEastAsia"/>
          <w:b/>
          <w:sz w:val="22"/>
          <w:szCs w:val="22"/>
          <w:highlight w:val="none"/>
        </w:rPr>
        <w:t>校准前准备</w:t>
      </w:r>
    </w:p>
    <w:p w14:paraId="68005F5B">
      <w:pPr>
        <w:autoSpaceDE w:val="0"/>
        <w:autoSpaceDN w:val="0"/>
        <w:adjustRightInd w:val="0"/>
        <w:spacing w:line="360" w:lineRule="auto"/>
        <w:jc w:val="left"/>
        <w:rPr>
          <w:rFonts w:eastAsiaTheme="minorEastAsia"/>
          <w:bCs/>
          <w:sz w:val="22"/>
          <w:szCs w:val="22"/>
          <w:highlight w:val="none"/>
        </w:rPr>
      </w:pPr>
      <w:r>
        <w:rPr>
          <w:rFonts w:hint="eastAsia" w:eastAsiaTheme="minorEastAsia"/>
          <w:bCs/>
          <w:sz w:val="22"/>
          <w:szCs w:val="22"/>
          <w:highlight w:val="none"/>
        </w:rPr>
        <w:t>7</w:t>
      </w:r>
      <w:r>
        <w:rPr>
          <w:rFonts w:eastAsiaTheme="minorEastAsia"/>
          <w:bCs/>
          <w:sz w:val="22"/>
          <w:szCs w:val="22"/>
          <w:highlight w:val="none"/>
        </w:rPr>
        <w:t xml:space="preserve">.2.1 </w:t>
      </w:r>
      <w:r>
        <w:rPr>
          <w:rFonts w:hint="eastAsia" w:eastAsiaTheme="minorEastAsia"/>
          <w:bCs/>
          <w:sz w:val="22"/>
          <w:szCs w:val="22"/>
          <w:highlight w:val="none"/>
        </w:rPr>
        <w:t>外观检查</w:t>
      </w:r>
    </w:p>
    <w:p w14:paraId="58EF6F5F">
      <w:pPr>
        <w:autoSpaceDE w:val="0"/>
        <w:autoSpaceDN w:val="0"/>
        <w:adjustRightInd w:val="0"/>
        <w:spacing w:line="360" w:lineRule="auto"/>
        <w:ind w:firstLine="440" w:firstLineChars="200"/>
        <w:jc w:val="left"/>
        <w:rPr>
          <w:rFonts w:eastAsiaTheme="minorEastAsia"/>
          <w:bCs/>
          <w:sz w:val="22"/>
          <w:szCs w:val="22"/>
          <w:highlight w:val="none"/>
        </w:rPr>
      </w:pPr>
      <w:r>
        <w:rPr>
          <w:rFonts w:hint="eastAsia" w:eastAsiaTheme="minorEastAsia"/>
          <w:bCs/>
          <w:sz w:val="22"/>
          <w:szCs w:val="22"/>
          <w:highlight w:val="none"/>
        </w:rPr>
        <w:t>准光腔介电常数测量系统（网络分析仪、半共焦型准光腔/共焦型准光腔/半球形准光腔）应具有下列标志：仪器名称、型号、制造厂名、出厂编号及出厂日期，出厂合格证书和仪器说明书齐备。</w:t>
      </w:r>
    </w:p>
    <w:p w14:paraId="7DC04C14">
      <w:pPr>
        <w:autoSpaceDE w:val="0"/>
        <w:autoSpaceDN w:val="0"/>
        <w:adjustRightInd w:val="0"/>
        <w:spacing w:line="360" w:lineRule="auto"/>
        <w:jc w:val="left"/>
        <w:rPr>
          <w:rFonts w:eastAsiaTheme="minorEastAsia"/>
          <w:bCs/>
          <w:sz w:val="22"/>
          <w:szCs w:val="22"/>
          <w:highlight w:val="none"/>
        </w:rPr>
      </w:pPr>
      <w:r>
        <w:rPr>
          <w:rFonts w:eastAsiaTheme="minorEastAsia"/>
          <w:bCs/>
          <w:sz w:val="22"/>
          <w:szCs w:val="22"/>
          <w:highlight w:val="none"/>
        </w:rPr>
        <w:t xml:space="preserve">7.2.2 </w:t>
      </w:r>
      <w:r>
        <w:rPr>
          <w:rFonts w:hint="eastAsia" w:eastAsiaTheme="minorEastAsia"/>
          <w:bCs/>
          <w:sz w:val="22"/>
          <w:szCs w:val="22"/>
          <w:highlight w:val="none"/>
        </w:rPr>
        <w:t>工作正常性检查</w:t>
      </w:r>
    </w:p>
    <w:p w14:paraId="1D6A7BA9">
      <w:pPr>
        <w:autoSpaceDE w:val="0"/>
        <w:autoSpaceDN w:val="0"/>
        <w:adjustRightInd w:val="0"/>
        <w:spacing w:line="360" w:lineRule="auto"/>
        <w:ind w:firstLine="440" w:firstLineChars="200"/>
        <w:jc w:val="left"/>
        <w:rPr>
          <w:rFonts w:eastAsiaTheme="minorEastAsia"/>
          <w:bCs/>
          <w:sz w:val="22"/>
          <w:szCs w:val="22"/>
          <w:highlight w:val="none"/>
        </w:rPr>
      </w:pPr>
      <w:r>
        <w:rPr>
          <w:rFonts w:hint="eastAsia" w:eastAsiaTheme="minorEastAsia"/>
          <w:bCs/>
          <w:sz w:val="22"/>
          <w:szCs w:val="22"/>
          <w:highlight w:val="none"/>
        </w:rPr>
        <w:t>设备及附件的所有连接均紧固良好，运动部件灵活、平稳，测量系统通电并启动后能正常运行，电脑软件运行正常。</w:t>
      </w:r>
    </w:p>
    <w:p w14:paraId="4FB7C62D">
      <w:pPr>
        <w:autoSpaceDE w:val="0"/>
        <w:autoSpaceDN w:val="0"/>
        <w:adjustRightInd w:val="0"/>
        <w:spacing w:line="360" w:lineRule="auto"/>
        <w:jc w:val="left"/>
        <w:rPr>
          <w:rFonts w:eastAsiaTheme="minorEastAsia"/>
          <w:b/>
          <w:sz w:val="22"/>
          <w:szCs w:val="22"/>
          <w:highlight w:val="none"/>
        </w:rPr>
      </w:pPr>
      <w:r>
        <w:rPr>
          <w:rFonts w:hint="eastAsia" w:eastAsiaTheme="minorEastAsia"/>
          <w:b/>
          <w:sz w:val="22"/>
          <w:szCs w:val="22"/>
          <w:highlight w:val="none"/>
        </w:rPr>
        <w:t>7</w:t>
      </w:r>
      <w:r>
        <w:rPr>
          <w:rFonts w:eastAsiaTheme="minorEastAsia"/>
          <w:b/>
          <w:sz w:val="22"/>
          <w:szCs w:val="22"/>
          <w:highlight w:val="none"/>
        </w:rPr>
        <w:t xml:space="preserve">.3 </w:t>
      </w:r>
      <w:r>
        <w:rPr>
          <w:rFonts w:hint="eastAsia" w:eastAsiaTheme="minorEastAsia"/>
          <w:b/>
          <w:sz w:val="22"/>
          <w:szCs w:val="22"/>
          <w:highlight w:val="none"/>
        </w:rPr>
        <w:t>校准方法</w:t>
      </w:r>
    </w:p>
    <w:p w14:paraId="73A89D32">
      <w:pPr>
        <w:autoSpaceDE w:val="0"/>
        <w:autoSpaceDN w:val="0"/>
        <w:adjustRightInd w:val="0"/>
        <w:spacing w:line="360" w:lineRule="auto"/>
        <w:jc w:val="left"/>
        <w:rPr>
          <w:rFonts w:eastAsiaTheme="minorEastAsia"/>
          <w:bCs/>
          <w:sz w:val="22"/>
          <w:szCs w:val="22"/>
          <w:highlight w:val="none"/>
        </w:rPr>
      </w:pPr>
      <w:r>
        <w:rPr>
          <w:rFonts w:hint="eastAsia" w:eastAsiaTheme="minorEastAsia"/>
          <w:bCs/>
          <w:sz w:val="22"/>
          <w:szCs w:val="22"/>
          <w:highlight w:val="none"/>
        </w:rPr>
        <w:t>7</w:t>
      </w:r>
      <w:r>
        <w:rPr>
          <w:rFonts w:eastAsiaTheme="minorEastAsia"/>
          <w:bCs/>
          <w:sz w:val="22"/>
          <w:szCs w:val="22"/>
          <w:highlight w:val="none"/>
        </w:rPr>
        <w:t xml:space="preserve">.3.1 </w:t>
      </w:r>
      <w:r>
        <w:rPr>
          <w:rFonts w:hint="eastAsia" w:eastAsiaTheme="minorEastAsia"/>
          <w:bCs/>
          <w:sz w:val="22"/>
          <w:szCs w:val="22"/>
          <w:highlight w:val="none"/>
        </w:rPr>
        <w:t>相对介电常数实部</w:t>
      </w:r>
    </w:p>
    <w:p w14:paraId="5180ED0C">
      <w:pPr>
        <w:autoSpaceDE w:val="0"/>
        <w:autoSpaceDN w:val="0"/>
        <w:adjustRightInd w:val="0"/>
        <w:spacing w:line="360" w:lineRule="auto"/>
        <w:jc w:val="left"/>
        <w:rPr>
          <w:rFonts w:eastAsiaTheme="minorEastAsia"/>
          <w:bCs/>
          <w:sz w:val="22"/>
          <w:szCs w:val="22"/>
          <w:highlight w:val="none"/>
        </w:rPr>
      </w:pPr>
      <w:r>
        <w:rPr>
          <w:rFonts w:hint="eastAsia" w:eastAsiaTheme="minorEastAsia"/>
          <w:bCs/>
          <w:sz w:val="22"/>
          <w:szCs w:val="22"/>
          <w:highlight w:val="none"/>
        </w:rPr>
        <w:t>（1）用固体电介质标样对整个准光腔介电常数测量系统进行校准，选取相对介电常数实部分别为2</w:t>
      </w:r>
      <w:r>
        <w:rPr>
          <w:rFonts w:eastAsiaTheme="minorEastAsia"/>
          <w:bCs/>
          <w:sz w:val="22"/>
          <w:szCs w:val="22"/>
          <w:highlight w:val="none"/>
        </w:rPr>
        <w:t>~10</w:t>
      </w:r>
      <w:r>
        <w:rPr>
          <w:rFonts w:hint="eastAsia" w:eastAsiaTheme="minorEastAsia"/>
          <w:bCs/>
          <w:sz w:val="22"/>
          <w:szCs w:val="22"/>
          <w:highlight w:val="none"/>
        </w:rPr>
        <w:t>、</w:t>
      </w:r>
      <w:r>
        <w:rPr>
          <w:rFonts w:eastAsiaTheme="minorEastAsia"/>
          <w:bCs/>
          <w:sz w:val="22"/>
          <w:szCs w:val="22"/>
          <w:highlight w:val="none"/>
        </w:rPr>
        <w:t>10~20范围内的两个介电常数数值作为校准点，分别用</w:t>
      </w:r>
      <w:r>
        <w:rPr>
          <w:rFonts w:hint="eastAsia" w:eastAsiaTheme="minorEastAsia"/>
          <w:bCs/>
          <w:sz w:val="22"/>
          <w:szCs w:val="22"/>
          <w:highlight w:val="none"/>
        </w:rPr>
        <w:t>对应的</w:t>
      </w:r>
      <w:r>
        <w:rPr>
          <w:rFonts w:eastAsiaTheme="minorEastAsia"/>
          <w:bCs/>
          <w:sz w:val="22"/>
          <w:szCs w:val="22"/>
          <w:highlight w:val="none"/>
        </w:rPr>
        <w:t>两个固体电介质标样对其进行校准，以覆盖准光腔介电常数测量系统的</w:t>
      </w:r>
      <w:r>
        <w:rPr>
          <w:rFonts w:hint="eastAsia" w:eastAsiaTheme="minorEastAsia"/>
          <w:bCs/>
          <w:sz w:val="22"/>
          <w:szCs w:val="22"/>
          <w:highlight w:val="none"/>
        </w:rPr>
        <w:t>介电常数测试范围。</w:t>
      </w:r>
    </w:p>
    <w:bookmarkEnd w:id="45"/>
    <w:bookmarkEnd w:id="46"/>
    <w:bookmarkEnd w:id="47"/>
    <w:bookmarkEnd w:id="48"/>
    <w:bookmarkEnd w:id="49"/>
    <w:bookmarkEnd w:id="50"/>
    <w:bookmarkEnd w:id="51"/>
    <w:p w14:paraId="5611CE09">
      <w:pPr>
        <w:autoSpaceDE w:val="0"/>
        <w:autoSpaceDN w:val="0"/>
        <w:adjustRightInd w:val="0"/>
        <w:spacing w:line="360" w:lineRule="auto"/>
        <w:jc w:val="left"/>
        <w:rPr>
          <w:rFonts w:eastAsiaTheme="minorEastAsia"/>
          <w:bCs/>
          <w:sz w:val="22"/>
          <w:szCs w:val="22"/>
          <w:highlight w:val="none"/>
        </w:rPr>
      </w:pPr>
      <w:r>
        <w:rPr>
          <w:rFonts w:hint="eastAsia" w:eastAsiaTheme="minorEastAsia"/>
          <w:bCs/>
          <w:sz w:val="22"/>
          <w:szCs w:val="22"/>
          <w:highlight w:val="none"/>
        </w:rPr>
        <w:t>（2）</w:t>
      </w:r>
      <w:r>
        <w:rPr>
          <w:rFonts w:eastAsiaTheme="minorEastAsia"/>
          <w:bCs/>
          <w:sz w:val="22"/>
          <w:szCs w:val="22"/>
          <w:highlight w:val="none"/>
        </w:rPr>
        <w:t>开机：开启网络分析仪及谐振腔的电源，预热30 min，使</w:t>
      </w:r>
      <w:r>
        <w:rPr>
          <w:rFonts w:hint="eastAsia" w:eastAsiaTheme="minorEastAsia"/>
          <w:bCs/>
          <w:sz w:val="22"/>
          <w:szCs w:val="22"/>
          <w:highlight w:val="none"/>
        </w:rPr>
        <w:t>准光腔测试</w:t>
      </w:r>
      <w:r>
        <w:rPr>
          <w:rFonts w:eastAsiaTheme="minorEastAsia"/>
          <w:bCs/>
          <w:sz w:val="22"/>
          <w:szCs w:val="22"/>
          <w:highlight w:val="none"/>
        </w:rPr>
        <w:t xml:space="preserve">系统进入稳定运行状态； </w:t>
      </w:r>
    </w:p>
    <w:p w14:paraId="041A1AB8">
      <w:pPr>
        <w:pStyle w:val="44"/>
        <w:spacing w:line="360" w:lineRule="auto"/>
        <w:ind w:firstLine="0" w:firstLineChars="0"/>
        <w:rPr>
          <w:rFonts w:eastAsiaTheme="minorEastAsia"/>
          <w:sz w:val="22"/>
          <w:szCs w:val="22"/>
          <w:highlight w:val="none"/>
        </w:rPr>
      </w:pPr>
      <w:r>
        <w:rPr>
          <w:rFonts w:hint="eastAsia" w:eastAsiaTheme="minorEastAsia"/>
          <w:bCs w:val="0"/>
          <w:sz w:val="22"/>
          <w:szCs w:val="22"/>
          <w:highlight w:val="none"/>
        </w:rPr>
        <w:t>（</w:t>
      </w:r>
      <w:r>
        <w:rPr>
          <w:rFonts w:hint="eastAsia" w:eastAsiaTheme="minorEastAsia"/>
          <w:sz w:val="22"/>
          <w:szCs w:val="22"/>
          <w:highlight w:val="none"/>
        </w:rPr>
        <w:t>3）</w:t>
      </w:r>
      <w:r>
        <w:rPr>
          <w:rFonts w:eastAsiaTheme="minorEastAsia"/>
          <w:sz w:val="22"/>
          <w:szCs w:val="22"/>
          <w:highlight w:val="none"/>
        </w:rPr>
        <w:t>空腔测试：打开测试软件，选择</w:t>
      </w:r>
      <w:r>
        <w:rPr>
          <w:rFonts w:hint="eastAsia" w:eastAsiaTheme="minorEastAsia"/>
          <w:sz w:val="22"/>
          <w:szCs w:val="22"/>
          <w:highlight w:val="none"/>
        </w:rPr>
        <w:t>“空腔测试”</w:t>
      </w:r>
      <w:r>
        <w:rPr>
          <w:rFonts w:eastAsiaTheme="minorEastAsia"/>
          <w:sz w:val="22"/>
          <w:szCs w:val="22"/>
          <w:highlight w:val="none"/>
        </w:rPr>
        <w:t>菜单</w:t>
      </w:r>
      <w:r>
        <w:rPr>
          <w:rFonts w:hint="eastAsia" w:eastAsiaTheme="minorEastAsia"/>
          <w:sz w:val="22"/>
          <w:szCs w:val="22"/>
          <w:highlight w:val="none"/>
        </w:rPr>
        <w:t>并选择测试频段</w:t>
      </w:r>
      <w:r>
        <w:rPr>
          <w:rFonts w:eastAsiaTheme="minorEastAsia"/>
          <w:sz w:val="22"/>
          <w:szCs w:val="22"/>
          <w:highlight w:val="none"/>
        </w:rPr>
        <w:t>，</w:t>
      </w:r>
      <w:r>
        <w:rPr>
          <w:rFonts w:hint="eastAsia" w:eastAsiaTheme="minorEastAsia"/>
          <w:sz w:val="22"/>
          <w:szCs w:val="22"/>
          <w:highlight w:val="none"/>
        </w:rPr>
        <w:t>共焦准光腔两球面镜移动到对应位置（半球准光腔和半共焦准光腔无需调整）。设置网络分析仪测量参数为“S</w:t>
      </w:r>
      <w:r>
        <w:rPr>
          <w:rFonts w:hint="eastAsia" w:eastAsiaTheme="minorEastAsia"/>
          <w:sz w:val="22"/>
          <w:szCs w:val="22"/>
          <w:highlight w:val="none"/>
          <w:vertAlign w:val="subscript"/>
        </w:rPr>
        <w:t>21</w:t>
      </w:r>
      <w:r>
        <w:rPr>
          <w:rFonts w:hint="eastAsia" w:eastAsiaTheme="minorEastAsia"/>
          <w:sz w:val="22"/>
          <w:szCs w:val="22"/>
          <w:highlight w:val="none"/>
        </w:rPr>
        <w:t>”，根据测试频段选择网络分析仪的起始频率、终止频率和测量点数。设置适当的中频带宽（通常为1</w:t>
      </w:r>
      <w:r>
        <w:rPr>
          <w:rFonts w:eastAsiaTheme="minorEastAsia"/>
          <w:sz w:val="22"/>
          <w:szCs w:val="22"/>
          <w:highlight w:val="none"/>
        </w:rPr>
        <w:t>00</w:t>
      </w:r>
      <w:r>
        <w:rPr>
          <w:rFonts w:hint="eastAsia" w:eastAsiaTheme="minorEastAsia"/>
          <w:sz w:val="22"/>
          <w:szCs w:val="22"/>
          <w:highlight w:val="none"/>
        </w:rPr>
        <w:t xml:space="preserve"> MHz</w:t>
      </w:r>
      <w:r>
        <w:rPr>
          <w:rFonts w:eastAsiaTheme="minorEastAsia"/>
          <w:sz w:val="22"/>
          <w:szCs w:val="22"/>
          <w:highlight w:val="none"/>
        </w:rPr>
        <w:t>）</w:t>
      </w:r>
      <w:r>
        <w:rPr>
          <w:rFonts w:hint="eastAsia" w:eastAsiaTheme="minorEastAsia"/>
          <w:sz w:val="22"/>
          <w:szCs w:val="22"/>
          <w:highlight w:val="none"/>
        </w:rPr>
        <w:t>，使用Ma</w:t>
      </w:r>
      <w:r>
        <w:rPr>
          <w:rFonts w:eastAsiaTheme="minorEastAsia"/>
          <w:sz w:val="22"/>
          <w:szCs w:val="22"/>
          <w:highlight w:val="none"/>
        </w:rPr>
        <w:t>r</w:t>
      </w:r>
      <w:r>
        <w:rPr>
          <w:rFonts w:hint="eastAsia" w:eastAsiaTheme="minorEastAsia"/>
          <w:sz w:val="22"/>
          <w:szCs w:val="22"/>
          <w:highlight w:val="none"/>
        </w:rPr>
        <w:t>ker功能测量谐振频率和品质因数，调节耦合探针深度使S</w:t>
      </w:r>
      <w:r>
        <w:rPr>
          <w:rFonts w:hint="eastAsia" w:eastAsiaTheme="minorEastAsia"/>
          <w:sz w:val="22"/>
          <w:szCs w:val="22"/>
          <w:highlight w:val="none"/>
          <w:vertAlign w:val="subscript"/>
        </w:rPr>
        <w:t>21</w:t>
      </w:r>
      <w:r>
        <w:rPr>
          <w:rFonts w:hint="eastAsia" w:eastAsiaTheme="minorEastAsia"/>
          <w:sz w:val="22"/>
          <w:szCs w:val="22"/>
          <w:highlight w:val="none"/>
        </w:rPr>
        <w:t>耦合强度＜-</w:t>
      </w:r>
      <w:r>
        <w:rPr>
          <w:rFonts w:eastAsiaTheme="minorEastAsia"/>
          <w:sz w:val="22"/>
          <w:szCs w:val="22"/>
          <w:highlight w:val="none"/>
        </w:rPr>
        <w:t>35dB</w:t>
      </w:r>
      <w:r>
        <w:rPr>
          <w:rFonts w:hint="eastAsia" w:eastAsiaTheme="minorEastAsia"/>
          <w:sz w:val="22"/>
          <w:szCs w:val="22"/>
          <w:highlight w:val="none"/>
        </w:rPr>
        <w:t>，测量并记录谐振腔的空腔谐振频率</w:t>
      </w:r>
      <m:oMath>
        <m:sSub>
          <m:sSubPr>
            <m:ctrlPr>
              <w:rPr>
                <w:rFonts w:ascii="Cambria Math" w:hAnsi="Cambria Math" w:eastAsiaTheme="minorEastAsia"/>
                <w:i/>
                <w:sz w:val="22"/>
                <w:szCs w:val="22"/>
                <w:highlight w:val="none"/>
              </w:rPr>
            </m:ctrlPr>
          </m:sSubPr>
          <m:e>
            <m:r>
              <m:rPr/>
              <w:rPr>
                <w:rFonts w:ascii="Cambria Math" w:hAnsi="Cambria Math" w:eastAsiaTheme="minorEastAsia"/>
                <w:sz w:val="22"/>
                <w:szCs w:val="22"/>
                <w:highlight w:val="none"/>
              </w:rPr>
              <m:t>f</m:t>
            </m:r>
            <m:ctrlPr>
              <w:rPr>
                <w:rFonts w:ascii="Cambria Math" w:hAnsi="Cambria Math" w:eastAsiaTheme="minorEastAsia"/>
                <w:i/>
                <w:sz w:val="22"/>
                <w:szCs w:val="22"/>
                <w:highlight w:val="none"/>
              </w:rPr>
            </m:ctrlPr>
          </m:e>
          <m:sub>
            <m:r>
              <m:rPr/>
              <w:rPr>
                <w:rFonts w:ascii="Cambria Math" w:hAnsi="Cambria Math" w:eastAsiaTheme="minorEastAsia"/>
                <w:sz w:val="22"/>
                <w:szCs w:val="22"/>
                <w:highlight w:val="none"/>
              </w:rPr>
              <m:t>0</m:t>
            </m:r>
            <m:ctrlPr>
              <w:rPr>
                <w:rFonts w:ascii="Cambria Math" w:hAnsi="Cambria Math" w:eastAsiaTheme="minorEastAsia"/>
                <w:i/>
                <w:sz w:val="22"/>
                <w:szCs w:val="22"/>
                <w:highlight w:val="none"/>
              </w:rPr>
            </m:ctrlPr>
          </m:sub>
        </m:sSub>
      </m:oMath>
      <w:r>
        <w:rPr>
          <w:rFonts w:hint="eastAsia" w:eastAsiaTheme="minorEastAsia"/>
          <w:sz w:val="22"/>
          <w:szCs w:val="22"/>
          <w:highlight w:val="none"/>
        </w:rPr>
        <w:t>和空腔品质因数</w:t>
      </w:r>
      <m:oMath>
        <m:sSub>
          <m:sSubPr>
            <m:ctrlPr>
              <w:rPr>
                <w:rFonts w:ascii="Cambria Math" w:hAnsi="Cambria Math" w:eastAsiaTheme="minorEastAsia"/>
                <w:i/>
                <w:sz w:val="22"/>
                <w:szCs w:val="22"/>
                <w:highlight w:val="none"/>
              </w:rPr>
            </m:ctrlPr>
          </m:sSubPr>
          <m:e>
            <m:r>
              <m:rPr/>
              <w:rPr>
                <w:rFonts w:ascii="Cambria Math" w:hAnsi="Cambria Math" w:eastAsiaTheme="minorEastAsia"/>
                <w:sz w:val="22"/>
                <w:szCs w:val="22"/>
                <w:highlight w:val="none"/>
              </w:rPr>
              <m:t>Q</m:t>
            </m:r>
            <m:ctrlPr>
              <w:rPr>
                <w:rFonts w:ascii="Cambria Math" w:hAnsi="Cambria Math" w:eastAsiaTheme="minorEastAsia"/>
                <w:i/>
                <w:sz w:val="22"/>
                <w:szCs w:val="22"/>
                <w:highlight w:val="none"/>
              </w:rPr>
            </m:ctrlPr>
          </m:e>
          <m:sub>
            <m:r>
              <m:rPr/>
              <w:rPr>
                <w:rFonts w:ascii="Cambria Math" w:hAnsi="Cambria Math" w:eastAsiaTheme="minorEastAsia"/>
                <w:sz w:val="22"/>
                <w:szCs w:val="22"/>
                <w:highlight w:val="none"/>
              </w:rPr>
              <m:t>0</m:t>
            </m:r>
            <m:ctrlPr>
              <w:rPr>
                <w:rFonts w:ascii="Cambria Math" w:hAnsi="Cambria Math" w:eastAsiaTheme="minorEastAsia"/>
                <w:i/>
                <w:sz w:val="22"/>
                <w:szCs w:val="22"/>
                <w:highlight w:val="none"/>
              </w:rPr>
            </m:ctrlPr>
          </m:sub>
        </m:sSub>
      </m:oMath>
      <w:r>
        <w:rPr>
          <w:rFonts w:hint="eastAsia" w:eastAsiaTheme="minorEastAsia"/>
          <w:sz w:val="22"/>
          <w:szCs w:val="22"/>
          <w:highlight w:val="none"/>
        </w:rPr>
        <w:t>。</w:t>
      </w:r>
    </w:p>
    <w:p w14:paraId="787FCA73">
      <w:pPr>
        <w:pStyle w:val="44"/>
        <w:spacing w:line="360" w:lineRule="auto"/>
        <w:ind w:firstLine="0" w:firstLineChars="0"/>
        <w:rPr>
          <w:rFonts w:eastAsiaTheme="minorEastAsia"/>
          <w:sz w:val="22"/>
          <w:szCs w:val="22"/>
          <w:highlight w:val="none"/>
        </w:rPr>
      </w:pPr>
      <w:r>
        <w:rPr>
          <w:rFonts w:hint="eastAsia" w:eastAsiaTheme="minorEastAsia"/>
          <w:bCs w:val="0"/>
          <w:sz w:val="22"/>
          <w:szCs w:val="22"/>
          <w:highlight w:val="none"/>
        </w:rPr>
        <w:t>（</w:t>
      </w:r>
      <w:r>
        <w:rPr>
          <w:rFonts w:hint="eastAsia" w:eastAsiaTheme="minorEastAsia"/>
          <w:sz w:val="22"/>
          <w:szCs w:val="22"/>
          <w:highlight w:val="none"/>
        </w:rPr>
        <w:t>4）固体电介质标样</w:t>
      </w:r>
      <w:r>
        <w:rPr>
          <w:rFonts w:eastAsiaTheme="minorEastAsia"/>
          <w:sz w:val="22"/>
          <w:szCs w:val="22"/>
          <w:highlight w:val="none"/>
        </w:rPr>
        <w:t>测试：</w:t>
      </w:r>
      <w:r>
        <w:rPr>
          <w:rFonts w:hint="eastAsia" w:eastAsiaTheme="minorEastAsia"/>
          <w:sz w:val="22"/>
          <w:szCs w:val="22"/>
          <w:highlight w:val="none"/>
        </w:rPr>
        <w:t>放置样品（共焦准光腔—</w:t>
      </w:r>
      <w:r>
        <w:rPr>
          <w:rFonts w:eastAsiaTheme="minorEastAsia"/>
          <w:sz w:val="22"/>
          <w:szCs w:val="22"/>
          <w:highlight w:val="none"/>
        </w:rPr>
        <w:t>将样品置于样品架</w:t>
      </w:r>
      <w:r>
        <w:rPr>
          <w:rFonts w:hint="eastAsia" w:eastAsiaTheme="minorEastAsia"/>
          <w:sz w:val="22"/>
          <w:szCs w:val="22"/>
          <w:highlight w:val="none"/>
        </w:rPr>
        <w:t>，半球准光腔—平面镜平开多孔处，半共焦准光腔—平面镜中心）</w:t>
      </w:r>
      <w:r>
        <w:rPr>
          <w:rFonts w:eastAsiaTheme="minorEastAsia"/>
          <w:sz w:val="22"/>
          <w:szCs w:val="22"/>
          <w:highlight w:val="none"/>
        </w:rPr>
        <w:t>，选择样品测试菜单，读取对应的空腔校正文件，根据页面提示输入样品名称及样品厚度，运行样品测试程序，</w:t>
      </w:r>
      <w:r>
        <w:rPr>
          <w:rFonts w:hint="eastAsia" w:eastAsiaTheme="minorEastAsia"/>
          <w:sz w:val="22"/>
          <w:szCs w:val="22"/>
          <w:highlight w:val="none"/>
        </w:rPr>
        <w:t>调整样品位置找到</w:t>
      </w:r>
      <w:r>
        <w:rPr>
          <w:rFonts w:eastAsiaTheme="minorEastAsia"/>
          <w:sz w:val="22"/>
          <w:szCs w:val="22"/>
          <w:highlight w:val="none"/>
        </w:rPr>
        <w:t>S</w:t>
      </w:r>
      <w:r>
        <w:rPr>
          <w:rFonts w:eastAsiaTheme="minorEastAsia"/>
          <w:sz w:val="22"/>
          <w:szCs w:val="22"/>
          <w:highlight w:val="none"/>
          <w:vertAlign w:val="subscript"/>
        </w:rPr>
        <w:t>21</w:t>
      </w:r>
      <w:r>
        <w:rPr>
          <w:rFonts w:hint="eastAsia" w:eastAsiaTheme="minorEastAsia"/>
          <w:sz w:val="22"/>
          <w:szCs w:val="22"/>
          <w:highlight w:val="none"/>
        </w:rPr>
        <w:t>频率显示极值的位置并进行固定</w:t>
      </w:r>
      <w:r>
        <w:rPr>
          <w:rFonts w:eastAsiaTheme="minorEastAsia"/>
          <w:sz w:val="22"/>
          <w:szCs w:val="22"/>
          <w:highlight w:val="none"/>
        </w:rPr>
        <w:t>，</w:t>
      </w:r>
      <w:r>
        <w:rPr>
          <w:rFonts w:hint="eastAsia" w:eastAsiaTheme="minorEastAsia"/>
          <w:sz w:val="22"/>
          <w:szCs w:val="22"/>
          <w:highlight w:val="none"/>
        </w:rPr>
        <w:t>读取此时对应的有载谐振频率</w:t>
      </w:r>
      <m:oMath>
        <m:sSub>
          <m:sSubPr>
            <m:ctrlPr>
              <w:rPr>
                <w:rFonts w:ascii="Cambria Math" w:hAnsi="Cambria Math" w:eastAsiaTheme="minorEastAsia"/>
                <w:i/>
                <w:sz w:val="22"/>
                <w:szCs w:val="22"/>
                <w:highlight w:val="none"/>
              </w:rPr>
            </m:ctrlPr>
          </m:sSubPr>
          <m:e>
            <m:r>
              <m:rPr/>
              <w:rPr>
                <w:rFonts w:ascii="Cambria Math" w:hAnsi="Cambria Math" w:eastAsiaTheme="minorEastAsia"/>
                <w:sz w:val="22"/>
                <w:szCs w:val="22"/>
                <w:highlight w:val="none"/>
              </w:rPr>
              <m:t>f</m:t>
            </m:r>
            <m:ctrlPr>
              <w:rPr>
                <w:rFonts w:ascii="Cambria Math" w:hAnsi="Cambria Math" w:eastAsiaTheme="minorEastAsia"/>
                <w:i/>
                <w:sz w:val="22"/>
                <w:szCs w:val="22"/>
                <w:highlight w:val="none"/>
              </w:rPr>
            </m:ctrlPr>
          </m:e>
          <m:sub>
            <m:r>
              <m:rPr/>
              <w:rPr>
                <w:rFonts w:ascii="Cambria Math" w:hAnsi="Cambria Math" w:eastAsiaTheme="minorEastAsia"/>
                <w:sz w:val="22"/>
                <w:szCs w:val="22"/>
                <w:highlight w:val="none"/>
              </w:rPr>
              <m:t>s</m:t>
            </m:r>
            <m:ctrlPr>
              <w:rPr>
                <w:rFonts w:ascii="Cambria Math" w:hAnsi="Cambria Math" w:eastAsiaTheme="minorEastAsia"/>
                <w:i/>
                <w:sz w:val="22"/>
                <w:szCs w:val="22"/>
                <w:highlight w:val="none"/>
              </w:rPr>
            </m:ctrlPr>
          </m:sub>
        </m:sSub>
      </m:oMath>
      <w:r>
        <w:rPr>
          <w:rFonts w:hint="eastAsia" w:eastAsiaTheme="minorEastAsia"/>
          <w:sz w:val="22"/>
          <w:szCs w:val="22"/>
          <w:highlight w:val="none"/>
        </w:rPr>
        <w:t>及有载品质因数</w:t>
      </w:r>
      <m:oMath>
        <m:sSub>
          <m:sSubPr>
            <m:ctrlPr>
              <w:rPr>
                <w:rFonts w:ascii="Cambria Math" w:hAnsi="Cambria Math" w:eastAsiaTheme="minorEastAsia"/>
                <w:i/>
                <w:sz w:val="22"/>
                <w:szCs w:val="22"/>
                <w:highlight w:val="none"/>
              </w:rPr>
            </m:ctrlPr>
          </m:sSubPr>
          <m:e>
            <m:r>
              <m:rPr/>
              <w:rPr>
                <w:rFonts w:ascii="Cambria Math" w:hAnsi="Cambria Math" w:eastAsiaTheme="minorEastAsia"/>
                <w:sz w:val="22"/>
                <w:szCs w:val="22"/>
                <w:highlight w:val="none"/>
              </w:rPr>
              <m:t>Q</m:t>
            </m:r>
            <m:ctrlPr>
              <w:rPr>
                <w:rFonts w:ascii="Cambria Math" w:hAnsi="Cambria Math" w:eastAsiaTheme="minorEastAsia"/>
                <w:i/>
                <w:sz w:val="22"/>
                <w:szCs w:val="22"/>
                <w:highlight w:val="none"/>
              </w:rPr>
            </m:ctrlPr>
          </m:e>
          <m:sub>
            <m:r>
              <m:rPr/>
              <w:rPr>
                <w:rFonts w:ascii="Cambria Math" w:hAnsi="Cambria Math" w:eastAsiaTheme="minorEastAsia"/>
                <w:sz w:val="22"/>
                <w:szCs w:val="22"/>
                <w:highlight w:val="none"/>
              </w:rPr>
              <m:t>s</m:t>
            </m:r>
            <m:ctrlPr>
              <w:rPr>
                <w:rFonts w:ascii="Cambria Math" w:hAnsi="Cambria Math" w:eastAsiaTheme="minorEastAsia"/>
                <w:i/>
                <w:sz w:val="22"/>
                <w:szCs w:val="22"/>
                <w:highlight w:val="none"/>
              </w:rPr>
            </m:ctrlPr>
          </m:sub>
        </m:sSub>
      </m:oMath>
      <w:r>
        <w:rPr>
          <w:rFonts w:hint="eastAsia" w:eastAsiaTheme="minorEastAsia"/>
          <w:sz w:val="22"/>
          <w:szCs w:val="22"/>
          <w:highlight w:val="none"/>
        </w:rPr>
        <w:t>。</w:t>
      </w:r>
    </w:p>
    <w:p w14:paraId="5649B93A">
      <w:pPr>
        <w:pStyle w:val="44"/>
        <w:spacing w:line="360" w:lineRule="auto"/>
        <w:ind w:firstLine="0" w:firstLineChars="0"/>
        <w:rPr>
          <w:rFonts w:eastAsiaTheme="minorEastAsia"/>
          <w:sz w:val="22"/>
          <w:szCs w:val="22"/>
          <w:highlight w:val="none"/>
        </w:rPr>
      </w:pPr>
      <w:r>
        <w:rPr>
          <w:rFonts w:hint="eastAsia" w:eastAsiaTheme="minorEastAsia"/>
          <w:bCs w:val="0"/>
          <w:sz w:val="22"/>
          <w:szCs w:val="22"/>
          <w:highlight w:val="none"/>
        </w:rPr>
        <w:t>（</w:t>
      </w:r>
      <w:r>
        <w:rPr>
          <w:rFonts w:hint="eastAsia" w:eastAsiaTheme="minorEastAsia"/>
          <w:sz w:val="22"/>
          <w:szCs w:val="22"/>
          <w:highlight w:val="none"/>
        </w:rPr>
        <w:t>5）数据计算：根据空腔谐振频率</w:t>
      </w:r>
      <m:oMath>
        <m:sSub>
          <m:sSubPr>
            <m:ctrlPr>
              <w:rPr>
                <w:rFonts w:ascii="Cambria Math" w:hAnsi="Cambria Math" w:eastAsiaTheme="minorEastAsia"/>
                <w:i/>
                <w:sz w:val="22"/>
                <w:szCs w:val="22"/>
                <w:highlight w:val="none"/>
              </w:rPr>
            </m:ctrlPr>
          </m:sSubPr>
          <m:e>
            <m:r>
              <m:rPr/>
              <w:rPr>
                <w:rFonts w:ascii="Cambria Math" w:hAnsi="Cambria Math" w:eastAsiaTheme="minorEastAsia"/>
                <w:sz w:val="22"/>
                <w:szCs w:val="22"/>
                <w:highlight w:val="none"/>
              </w:rPr>
              <m:t>f</m:t>
            </m:r>
            <m:ctrlPr>
              <w:rPr>
                <w:rFonts w:ascii="Cambria Math" w:hAnsi="Cambria Math" w:eastAsiaTheme="minorEastAsia"/>
                <w:i/>
                <w:sz w:val="22"/>
                <w:szCs w:val="22"/>
                <w:highlight w:val="none"/>
              </w:rPr>
            </m:ctrlPr>
          </m:e>
          <m:sub>
            <m:r>
              <m:rPr/>
              <w:rPr>
                <w:rFonts w:ascii="Cambria Math" w:hAnsi="Cambria Math" w:eastAsiaTheme="minorEastAsia"/>
                <w:sz w:val="22"/>
                <w:szCs w:val="22"/>
                <w:highlight w:val="none"/>
              </w:rPr>
              <m:t>0</m:t>
            </m:r>
            <m:ctrlPr>
              <w:rPr>
                <w:rFonts w:ascii="Cambria Math" w:hAnsi="Cambria Math" w:eastAsiaTheme="minorEastAsia"/>
                <w:i/>
                <w:sz w:val="22"/>
                <w:szCs w:val="22"/>
                <w:highlight w:val="none"/>
              </w:rPr>
            </m:ctrlPr>
          </m:sub>
        </m:sSub>
      </m:oMath>
      <w:r>
        <w:rPr>
          <w:rFonts w:hint="eastAsia" w:eastAsiaTheme="minorEastAsia"/>
          <w:sz w:val="22"/>
          <w:szCs w:val="22"/>
          <w:highlight w:val="none"/>
        </w:rPr>
        <w:t>、空腔品质因数</w:t>
      </w:r>
      <m:oMath>
        <m:sSub>
          <m:sSubPr>
            <m:ctrlPr>
              <w:rPr>
                <w:rFonts w:ascii="Cambria Math" w:hAnsi="Cambria Math" w:eastAsiaTheme="minorEastAsia"/>
                <w:i/>
                <w:sz w:val="22"/>
                <w:szCs w:val="22"/>
                <w:highlight w:val="none"/>
              </w:rPr>
            </m:ctrlPr>
          </m:sSubPr>
          <m:e>
            <m:r>
              <m:rPr/>
              <w:rPr>
                <w:rFonts w:ascii="Cambria Math" w:hAnsi="Cambria Math" w:eastAsiaTheme="minorEastAsia"/>
                <w:sz w:val="22"/>
                <w:szCs w:val="22"/>
                <w:highlight w:val="none"/>
              </w:rPr>
              <m:t>Q</m:t>
            </m:r>
            <m:ctrlPr>
              <w:rPr>
                <w:rFonts w:ascii="Cambria Math" w:hAnsi="Cambria Math" w:eastAsiaTheme="minorEastAsia"/>
                <w:i/>
                <w:sz w:val="22"/>
                <w:szCs w:val="22"/>
                <w:highlight w:val="none"/>
              </w:rPr>
            </m:ctrlPr>
          </m:e>
          <m:sub>
            <m:r>
              <m:rPr/>
              <w:rPr>
                <w:rFonts w:ascii="Cambria Math" w:hAnsi="Cambria Math" w:eastAsiaTheme="minorEastAsia"/>
                <w:sz w:val="22"/>
                <w:szCs w:val="22"/>
                <w:highlight w:val="none"/>
              </w:rPr>
              <m:t>0</m:t>
            </m:r>
            <m:ctrlPr>
              <w:rPr>
                <w:rFonts w:ascii="Cambria Math" w:hAnsi="Cambria Math" w:eastAsiaTheme="minorEastAsia"/>
                <w:i/>
                <w:sz w:val="22"/>
                <w:szCs w:val="22"/>
                <w:highlight w:val="none"/>
              </w:rPr>
            </m:ctrlPr>
          </m:sub>
        </m:sSub>
      </m:oMath>
      <w:r>
        <w:rPr>
          <w:rFonts w:hint="eastAsia" w:eastAsiaTheme="minorEastAsia"/>
          <w:sz w:val="22"/>
          <w:szCs w:val="22"/>
          <w:highlight w:val="none"/>
        </w:rPr>
        <w:t>、有载谐振频率</w:t>
      </w:r>
      <m:oMath>
        <m:sSub>
          <m:sSubPr>
            <m:ctrlPr>
              <w:rPr>
                <w:rFonts w:ascii="Cambria Math" w:hAnsi="Cambria Math" w:eastAsiaTheme="minorEastAsia"/>
                <w:i/>
                <w:sz w:val="22"/>
                <w:szCs w:val="22"/>
                <w:highlight w:val="none"/>
              </w:rPr>
            </m:ctrlPr>
          </m:sSubPr>
          <m:e>
            <m:r>
              <m:rPr/>
              <w:rPr>
                <w:rFonts w:ascii="Cambria Math" w:hAnsi="Cambria Math" w:eastAsiaTheme="minorEastAsia"/>
                <w:sz w:val="22"/>
                <w:szCs w:val="22"/>
                <w:highlight w:val="none"/>
              </w:rPr>
              <m:t>f</m:t>
            </m:r>
            <m:ctrlPr>
              <w:rPr>
                <w:rFonts w:ascii="Cambria Math" w:hAnsi="Cambria Math" w:eastAsiaTheme="minorEastAsia"/>
                <w:i/>
                <w:sz w:val="22"/>
                <w:szCs w:val="22"/>
                <w:highlight w:val="none"/>
              </w:rPr>
            </m:ctrlPr>
          </m:e>
          <m:sub>
            <m:r>
              <m:rPr/>
              <w:rPr>
                <w:rFonts w:ascii="Cambria Math" w:hAnsi="Cambria Math" w:eastAsiaTheme="minorEastAsia"/>
                <w:sz w:val="22"/>
                <w:szCs w:val="22"/>
                <w:highlight w:val="none"/>
              </w:rPr>
              <m:t>s</m:t>
            </m:r>
            <m:ctrlPr>
              <w:rPr>
                <w:rFonts w:ascii="Cambria Math" w:hAnsi="Cambria Math" w:eastAsiaTheme="minorEastAsia"/>
                <w:i/>
                <w:sz w:val="22"/>
                <w:szCs w:val="22"/>
                <w:highlight w:val="none"/>
              </w:rPr>
            </m:ctrlPr>
          </m:sub>
        </m:sSub>
      </m:oMath>
      <w:r>
        <w:rPr>
          <w:rFonts w:hint="eastAsia" w:eastAsiaTheme="minorEastAsia"/>
          <w:sz w:val="22"/>
          <w:szCs w:val="22"/>
          <w:highlight w:val="none"/>
        </w:rPr>
        <w:t>、有载品质因数</w:t>
      </w:r>
      <m:oMath>
        <m:sSub>
          <m:sSubPr>
            <m:ctrlPr>
              <w:rPr>
                <w:rFonts w:ascii="Cambria Math" w:hAnsi="Cambria Math" w:eastAsiaTheme="minorEastAsia"/>
                <w:i/>
                <w:sz w:val="22"/>
                <w:szCs w:val="22"/>
                <w:highlight w:val="none"/>
              </w:rPr>
            </m:ctrlPr>
          </m:sSubPr>
          <m:e>
            <m:r>
              <m:rPr/>
              <w:rPr>
                <w:rFonts w:ascii="Cambria Math" w:hAnsi="Cambria Math" w:eastAsiaTheme="minorEastAsia"/>
                <w:sz w:val="22"/>
                <w:szCs w:val="22"/>
                <w:highlight w:val="none"/>
              </w:rPr>
              <m:t>Q</m:t>
            </m:r>
            <m:ctrlPr>
              <w:rPr>
                <w:rFonts w:ascii="Cambria Math" w:hAnsi="Cambria Math" w:eastAsiaTheme="minorEastAsia"/>
                <w:i/>
                <w:sz w:val="22"/>
                <w:szCs w:val="22"/>
                <w:highlight w:val="none"/>
              </w:rPr>
            </m:ctrlPr>
          </m:e>
          <m:sub>
            <m:r>
              <m:rPr/>
              <w:rPr>
                <w:rFonts w:ascii="Cambria Math" w:hAnsi="Cambria Math" w:eastAsiaTheme="minorEastAsia"/>
                <w:sz w:val="22"/>
                <w:szCs w:val="22"/>
                <w:highlight w:val="none"/>
              </w:rPr>
              <m:t>s</m:t>
            </m:r>
            <m:ctrlPr>
              <w:rPr>
                <w:rFonts w:ascii="Cambria Math" w:hAnsi="Cambria Math" w:eastAsiaTheme="minorEastAsia"/>
                <w:i/>
                <w:sz w:val="22"/>
                <w:szCs w:val="22"/>
                <w:highlight w:val="none"/>
              </w:rPr>
            </m:ctrlPr>
          </m:sub>
        </m:sSub>
      </m:oMath>
      <w:r>
        <w:rPr>
          <w:rFonts w:hint="eastAsia" w:eastAsiaTheme="minorEastAsia"/>
          <w:sz w:val="22"/>
          <w:szCs w:val="22"/>
          <w:highlight w:val="none"/>
        </w:rPr>
        <w:t>、样品厚度</w:t>
      </w:r>
      <m:oMath>
        <m:r>
          <m:rPr/>
          <w:rPr>
            <w:rFonts w:ascii="Cambria Math" w:hAnsi="Cambria Math" w:eastAsiaTheme="minorEastAsia"/>
            <w:sz w:val="22"/>
            <w:szCs w:val="22"/>
            <w:highlight w:val="none"/>
          </w:rPr>
          <m:t>t</m:t>
        </m:r>
      </m:oMath>
      <w:r>
        <w:rPr>
          <w:rFonts w:hint="eastAsia" w:eastAsiaTheme="minorEastAsia"/>
          <w:sz w:val="22"/>
          <w:szCs w:val="22"/>
          <w:highlight w:val="none"/>
        </w:rPr>
        <w:t>，</w:t>
      </w:r>
      <w:r>
        <w:rPr>
          <w:rFonts w:eastAsiaTheme="minorEastAsia"/>
          <w:sz w:val="22"/>
          <w:szCs w:val="22"/>
          <w:highlight w:val="none"/>
        </w:rPr>
        <w:t>通过超越方程运算求解折射率</w:t>
      </w:r>
      <m:oMath>
        <m:r>
          <m:rPr/>
          <w:rPr>
            <w:rFonts w:ascii="Cambria Math" w:hAnsi="Cambria Math" w:eastAsiaTheme="minorEastAsia"/>
            <w:sz w:val="22"/>
            <w:szCs w:val="22"/>
            <w:highlight w:val="none"/>
          </w:rPr>
          <m:t>n</m:t>
        </m:r>
      </m:oMath>
      <w:r>
        <w:rPr>
          <w:rFonts w:eastAsiaTheme="minorEastAsia"/>
          <w:sz w:val="22"/>
          <w:szCs w:val="22"/>
          <w:highlight w:val="none"/>
        </w:rPr>
        <w:t>从而得到相对介电常数实部</w:t>
      </w:r>
      <m:oMath>
        <m:sSup>
          <m:sSupPr>
            <m:ctrlPr>
              <w:rPr>
                <w:rFonts w:ascii="Cambria Math" w:hAnsi="Cambria Math"/>
                <w:i/>
                <w:sz w:val="22"/>
                <w:szCs w:val="22"/>
                <w:highlight w:val="none"/>
                <w:vertAlign w:val="subscript"/>
              </w:rPr>
            </m:ctrlPr>
          </m:sSupPr>
          <m:e>
            <m:sSub>
              <m:sSubPr>
                <m:ctrlPr>
                  <w:rPr>
                    <w:rFonts w:ascii="Cambria Math" w:hAnsi="Cambria Math"/>
                    <w:i/>
                    <w:sz w:val="22"/>
                    <w:szCs w:val="22"/>
                    <w:highlight w:val="none"/>
                  </w:rPr>
                </m:ctrlPr>
              </m:sSubPr>
              <m:e>
                <m:r>
                  <m:rPr>
                    <m:sty m:val="p"/>
                  </m:rPr>
                  <w:rPr>
                    <w:rFonts w:ascii="Cambria Math" w:hAnsi="Cambria Math"/>
                    <w:sz w:val="22"/>
                    <w:szCs w:val="22"/>
                    <w:highlight w:val="none"/>
                  </w:rPr>
                  <m:t>ε</m:t>
                </m:r>
                <m:ctrlPr>
                  <w:rPr>
                    <w:rFonts w:ascii="Cambria Math" w:hAnsi="Cambria Math"/>
                    <w:i/>
                    <w:sz w:val="22"/>
                    <w:szCs w:val="22"/>
                    <w:highlight w:val="none"/>
                  </w:rPr>
                </m:ctrlPr>
              </m:e>
              <m:sub>
                <m:r>
                  <m:rPr/>
                  <w:rPr>
                    <w:rFonts w:ascii="Cambria Math" w:hAnsi="Cambria Math"/>
                    <w:sz w:val="22"/>
                    <w:szCs w:val="22"/>
                    <w:highlight w:val="none"/>
                  </w:rPr>
                  <m:t>r</m:t>
                </m:r>
                <m:ctrlPr>
                  <w:rPr>
                    <w:rFonts w:ascii="Cambria Math" w:hAnsi="Cambria Math"/>
                    <w:i/>
                    <w:sz w:val="22"/>
                    <w:szCs w:val="22"/>
                    <w:highlight w:val="none"/>
                  </w:rPr>
                </m:ctrlPr>
              </m:sub>
            </m:sSub>
            <m:ctrlPr>
              <w:rPr>
                <w:rFonts w:ascii="Cambria Math" w:hAnsi="Cambria Math"/>
                <w:i/>
                <w:sz w:val="22"/>
                <w:szCs w:val="22"/>
                <w:highlight w:val="none"/>
                <w:vertAlign w:val="subscript"/>
              </w:rPr>
            </m:ctrlPr>
          </m:e>
          <m:sup>
            <m:r>
              <m:rPr/>
              <w:rPr>
                <w:rFonts w:ascii="Cambria Math" w:hAnsi="Cambria Math"/>
                <w:sz w:val="22"/>
                <w:szCs w:val="22"/>
                <w:highlight w:val="none"/>
                <w:vertAlign w:val="subscript"/>
              </w:rPr>
              <m:t>'</m:t>
            </m:r>
            <m:ctrlPr>
              <w:rPr>
                <w:rFonts w:ascii="Cambria Math" w:hAnsi="Cambria Math"/>
                <w:i/>
                <w:sz w:val="22"/>
                <w:szCs w:val="22"/>
                <w:highlight w:val="none"/>
                <w:vertAlign w:val="subscript"/>
              </w:rPr>
            </m:ctrlPr>
          </m:sup>
        </m:sSup>
      </m:oMath>
      <w:r>
        <w:rPr>
          <w:rFonts w:hint="eastAsia" w:eastAsiaTheme="minorEastAsia"/>
          <w:sz w:val="22"/>
          <w:szCs w:val="22"/>
          <w:highlight w:val="none"/>
        </w:rPr>
        <w:t>。</w:t>
      </w:r>
    </w:p>
    <w:p w14:paraId="5986942A">
      <w:pPr>
        <w:pStyle w:val="44"/>
        <w:spacing w:line="360" w:lineRule="auto"/>
        <w:ind w:firstLine="0" w:firstLineChars="0"/>
        <w:rPr>
          <w:rFonts w:eastAsiaTheme="minorEastAsia"/>
          <w:sz w:val="22"/>
          <w:szCs w:val="22"/>
          <w:highlight w:val="none"/>
        </w:rPr>
      </w:pPr>
      <w:r>
        <w:rPr>
          <w:rFonts w:hint="eastAsia" w:eastAsiaTheme="minorEastAsia"/>
          <w:bCs w:val="0"/>
          <w:sz w:val="22"/>
          <w:szCs w:val="22"/>
          <w:highlight w:val="none"/>
        </w:rPr>
        <w:t>（</w:t>
      </w:r>
      <w:r>
        <w:rPr>
          <w:rFonts w:eastAsiaTheme="minorEastAsia"/>
          <w:sz w:val="22"/>
          <w:szCs w:val="22"/>
          <w:highlight w:val="none"/>
        </w:rPr>
        <w:t>6</w:t>
      </w:r>
      <w:r>
        <w:rPr>
          <w:rFonts w:hint="eastAsia" w:eastAsiaTheme="minorEastAsia"/>
          <w:sz w:val="22"/>
          <w:szCs w:val="22"/>
          <w:highlight w:val="none"/>
        </w:rPr>
        <w:t>）重复测试步骤</w:t>
      </w:r>
      <w:r>
        <w:rPr>
          <w:rFonts w:hint="eastAsia" w:eastAsiaTheme="minorEastAsia"/>
          <w:bCs w:val="0"/>
          <w:sz w:val="22"/>
          <w:szCs w:val="22"/>
          <w:highlight w:val="none"/>
        </w:rPr>
        <w:t>（</w:t>
      </w:r>
      <w:r>
        <w:rPr>
          <w:rFonts w:eastAsiaTheme="minorEastAsia"/>
          <w:sz w:val="22"/>
          <w:szCs w:val="22"/>
          <w:highlight w:val="none"/>
        </w:rPr>
        <w:t>2</w:t>
      </w:r>
      <w:r>
        <w:rPr>
          <w:rFonts w:hint="eastAsia" w:eastAsiaTheme="minorEastAsia"/>
          <w:sz w:val="22"/>
          <w:szCs w:val="22"/>
          <w:highlight w:val="none"/>
        </w:rPr>
        <w:t>）</w:t>
      </w:r>
      <w:r>
        <w:rPr>
          <w:rFonts w:eastAsiaTheme="minorEastAsia"/>
          <w:sz w:val="22"/>
          <w:szCs w:val="22"/>
          <w:highlight w:val="none"/>
        </w:rPr>
        <w:t>~</w:t>
      </w:r>
      <w:r>
        <w:rPr>
          <w:rFonts w:hint="eastAsia" w:eastAsiaTheme="minorEastAsia"/>
          <w:bCs w:val="0"/>
          <w:sz w:val="22"/>
          <w:szCs w:val="22"/>
          <w:highlight w:val="none"/>
        </w:rPr>
        <w:t>（</w:t>
      </w:r>
      <w:r>
        <w:rPr>
          <w:rFonts w:eastAsiaTheme="minorEastAsia"/>
          <w:sz w:val="22"/>
          <w:szCs w:val="22"/>
          <w:highlight w:val="none"/>
        </w:rPr>
        <w:t>5</w:t>
      </w:r>
      <w:r>
        <w:rPr>
          <w:rFonts w:hint="eastAsia" w:eastAsiaTheme="minorEastAsia"/>
          <w:sz w:val="22"/>
          <w:szCs w:val="22"/>
          <w:highlight w:val="none"/>
        </w:rPr>
        <w:t>），完成其他固体电介质标样的测试。</w:t>
      </w:r>
    </w:p>
    <w:p w14:paraId="63F7D336">
      <w:pPr>
        <w:pStyle w:val="44"/>
        <w:spacing w:line="360" w:lineRule="auto"/>
        <w:ind w:firstLine="0" w:firstLineChars="0"/>
        <w:rPr>
          <w:rFonts w:eastAsiaTheme="minorEastAsia"/>
          <w:sz w:val="22"/>
          <w:szCs w:val="22"/>
          <w:highlight w:val="none"/>
        </w:rPr>
      </w:pPr>
      <w:r>
        <w:rPr>
          <w:rFonts w:hint="eastAsia" w:eastAsiaTheme="minorEastAsia"/>
          <w:sz w:val="22"/>
          <w:szCs w:val="22"/>
          <w:highlight w:val="none"/>
        </w:rPr>
        <w:t>7</w:t>
      </w:r>
      <w:r>
        <w:rPr>
          <w:rFonts w:eastAsiaTheme="minorEastAsia"/>
          <w:sz w:val="22"/>
          <w:szCs w:val="22"/>
          <w:highlight w:val="none"/>
        </w:rPr>
        <w:t xml:space="preserve">.3.2 </w:t>
      </w:r>
      <w:r>
        <w:rPr>
          <w:rFonts w:hint="eastAsia" w:eastAsiaTheme="minorEastAsia"/>
          <w:sz w:val="22"/>
          <w:szCs w:val="22"/>
          <w:highlight w:val="none"/>
        </w:rPr>
        <w:t>损耗角正切</w:t>
      </w:r>
    </w:p>
    <w:p w14:paraId="37C43E2B">
      <w:pPr>
        <w:autoSpaceDE w:val="0"/>
        <w:autoSpaceDN w:val="0"/>
        <w:adjustRightInd w:val="0"/>
        <w:spacing w:line="360" w:lineRule="auto"/>
        <w:jc w:val="left"/>
        <w:rPr>
          <w:rFonts w:eastAsiaTheme="minorEastAsia"/>
          <w:bCs/>
          <w:sz w:val="22"/>
          <w:szCs w:val="22"/>
          <w:highlight w:val="none"/>
        </w:rPr>
      </w:pPr>
      <w:r>
        <w:rPr>
          <w:rFonts w:hint="eastAsia" w:eastAsiaTheme="minorEastAsia"/>
          <w:bCs/>
          <w:sz w:val="22"/>
          <w:szCs w:val="22"/>
          <w:highlight w:val="none"/>
        </w:rPr>
        <w:t>（1）用固体电介质标样对整个准光腔介电常数测量系统进行校准，选取损耗角正切在0</w:t>
      </w:r>
      <w:r>
        <w:rPr>
          <w:rFonts w:eastAsiaTheme="minorEastAsia"/>
          <w:bCs/>
          <w:sz w:val="22"/>
          <w:szCs w:val="22"/>
          <w:highlight w:val="none"/>
        </w:rPr>
        <w:t>.0001~0.05范围内的两个</w:t>
      </w:r>
      <w:r>
        <w:rPr>
          <w:rFonts w:hint="eastAsia" w:eastAsiaTheme="minorEastAsia"/>
          <w:bCs/>
          <w:sz w:val="22"/>
          <w:szCs w:val="22"/>
          <w:highlight w:val="none"/>
        </w:rPr>
        <w:t>损耗角正切</w:t>
      </w:r>
      <w:r>
        <w:rPr>
          <w:rFonts w:eastAsiaTheme="minorEastAsia"/>
          <w:bCs/>
          <w:sz w:val="22"/>
          <w:szCs w:val="22"/>
          <w:highlight w:val="none"/>
        </w:rPr>
        <w:t>数值作为校准点，分别用</w:t>
      </w:r>
      <w:r>
        <w:rPr>
          <w:rFonts w:hint="eastAsia" w:eastAsiaTheme="minorEastAsia"/>
          <w:bCs/>
          <w:sz w:val="22"/>
          <w:szCs w:val="22"/>
          <w:highlight w:val="none"/>
        </w:rPr>
        <w:t>对应的</w:t>
      </w:r>
      <w:r>
        <w:rPr>
          <w:rFonts w:eastAsiaTheme="minorEastAsia"/>
          <w:bCs/>
          <w:sz w:val="22"/>
          <w:szCs w:val="22"/>
          <w:highlight w:val="none"/>
        </w:rPr>
        <w:t>两个固体电介质标样对其进行校准，以覆盖准光腔介电常数测量系统的</w:t>
      </w:r>
      <w:r>
        <w:rPr>
          <w:rFonts w:hint="eastAsia" w:eastAsiaTheme="minorEastAsia"/>
          <w:bCs/>
          <w:sz w:val="22"/>
          <w:szCs w:val="22"/>
          <w:highlight w:val="none"/>
        </w:rPr>
        <w:t>损耗角正切测试范围。</w:t>
      </w:r>
    </w:p>
    <w:p w14:paraId="09AD96A0">
      <w:pPr>
        <w:autoSpaceDE w:val="0"/>
        <w:autoSpaceDN w:val="0"/>
        <w:adjustRightInd w:val="0"/>
        <w:spacing w:line="360" w:lineRule="auto"/>
        <w:jc w:val="left"/>
        <w:rPr>
          <w:rFonts w:eastAsiaTheme="minorEastAsia"/>
          <w:sz w:val="22"/>
          <w:szCs w:val="22"/>
          <w:highlight w:val="none"/>
        </w:rPr>
      </w:pPr>
      <w:r>
        <w:rPr>
          <w:rFonts w:hint="eastAsia" w:eastAsiaTheme="minorEastAsia"/>
          <w:bCs/>
          <w:sz w:val="22"/>
          <w:szCs w:val="22"/>
          <w:highlight w:val="none"/>
        </w:rPr>
        <w:t>（2）重复7</w:t>
      </w:r>
      <w:r>
        <w:rPr>
          <w:rFonts w:eastAsiaTheme="minorEastAsia"/>
          <w:bCs/>
          <w:sz w:val="22"/>
          <w:szCs w:val="22"/>
          <w:highlight w:val="none"/>
        </w:rPr>
        <w:t>.3.1</w:t>
      </w:r>
      <w:r>
        <w:rPr>
          <w:rFonts w:hint="eastAsia" w:eastAsiaTheme="minorEastAsia"/>
          <w:bCs/>
          <w:sz w:val="22"/>
          <w:szCs w:val="22"/>
          <w:highlight w:val="none"/>
        </w:rPr>
        <w:t>中（</w:t>
      </w:r>
      <w:r>
        <w:rPr>
          <w:rFonts w:eastAsiaTheme="minorEastAsia"/>
          <w:sz w:val="22"/>
          <w:szCs w:val="22"/>
          <w:highlight w:val="none"/>
        </w:rPr>
        <w:t>2</w:t>
      </w:r>
      <w:r>
        <w:rPr>
          <w:rFonts w:hint="eastAsia" w:eastAsiaTheme="minorEastAsia"/>
          <w:sz w:val="22"/>
          <w:szCs w:val="22"/>
          <w:highlight w:val="none"/>
        </w:rPr>
        <w:t>）</w:t>
      </w:r>
      <w:r>
        <w:rPr>
          <w:rFonts w:eastAsiaTheme="minorEastAsia"/>
          <w:sz w:val="22"/>
          <w:szCs w:val="22"/>
          <w:highlight w:val="none"/>
        </w:rPr>
        <w:t>~</w:t>
      </w:r>
      <w:r>
        <w:rPr>
          <w:rFonts w:hint="eastAsia" w:eastAsiaTheme="minorEastAsia"/>
          <w:bCs/>
          <w:sz w:val="22"/>
          <w:szCs w:val="22"/>
          <w:highlight w:val="none"/>
        </w:rPr>
        <w:t>（</w:t>
      </w:r>
      <w:r>
        <w:rPr>
          <w:rFonts w:eastAsiaTheme="minorEastAsia"/>
          <w:sz w:val="22"/>
          <w:szCs w:val="22"/>
          <w:highlight w:val="none"/>
        </w:rPr>
        <w:t>5</w:t>
      </w:r>
      <w:r>
        <w:rPr>
          <w:rFonts w:hint="eastAsia" w:eastAsiaTheme="minorEastAsia"/>
          <w:sz w:val="22"/>
          <w:szCs w:val="22"/>
          <w:highlight w:val="none"/>
        </w:rPr>
        <w:t>）步骤测试固体电介质标样损耗角正切。</w:t>
      </w:r>
    </w:p>
    <w:p w14:paraId="7448FC60">
      <w:pPr>
        <w:pStyle w:val="44"/>
        <w:spacing w:line="360" w:lineRule="auto"/>
        <w:ind w:firstLine="0" w:firstLineChars="0"/>
        <w:rPr>
          <w:rFonts w:eastAsiaTheme="minorEastAsia"/>
          <w:sz w:val="22"/>
          <w:szCs w:val="22"/>
          <w:highlight w:val="none"/>
        </w:rPr>
      </w:pPr>
      <w:r>
        <w:rPr>
          <w:rFonts w:hint="eastAsia" w:eastAsiaTheme="minorEastAsia"/>
          <w:bCs w:val="0"/>
          <w:sz w:val="22"/>
          <w:szCs w:val="22"/>
          <w:highlight w:val="none"/>
        </w:rPr>
        <w:t>（</w:t>
      </w:r>
      <w:r>
        <w:rPr>
          <w:rFonts w:hint="eastAsia" w:eastAsiaTheme="minorEastAsia"/>
          <w:sz w:val="22"/>
          <w:szCs w:val="22"/>
          <w:highlight w:val="none"/>
        </w:rPr>
        <w:t>3）根据空腔谐振频率</w:t>
      </w:r>
      <m:oMath>
        <m:sSub>
          <m:sSubPr>
            <m:ctrlPr>
              <w:rPr>
                <w:rFonts w:ascii="Cambria Math" w:hAnsi="Cambria Math" w:eastAsiaTheme="minorEastAsia"/>
                <w:i/>
                <w:sz w:val="22"/>
                <w:szCs w:val="22"/>
                <w:highlight w:val="none"/>
              </w:rPr>
            </m:ctrlPr>
          </m:sSubPr>
          <m:e>
            <m:r>
              <m:rPr/>
              <w:rPr>
                <w:rFonts w:ascii="Cambria Math" w:hAnsi="Cambria Math" w:eastAsiaTheme="minorEastAsia"/>
                <w:sz w:val="22"/>
                <w:szCs w:val="22"/>
                <w:highlight w:val="none"/>
              </w:rPr>
              <m:t>f</m:t>
            </m:r>
            <m:ctrlPr>
              <w:rPr>
                <w:rFonts w:ascii="Cambria Math" w:hAnsi="Cambria Math" w:eastAsiaTheme="minorEastAsia"/>
                <w:i/>
                <w:sz w:val="22"/>
                <w:szCs w:val="22"/>
                <w:highlight w:val="none"/>
              </w:rPr>
            </m:ctrlPr>
          </m:e>
          <m:sub>
            <m:r>
              <m:rPr/>
              <w:rPr>
                <w:rFonts w:ascii="Cambria Math" w:hAnsi="Cambria Math" w:eastAsiaTheme="minorEastAsia"/>
                <w:sz w:val="22"/>
                <w:szCs w:val="22"/>
                <w:highlight w:val="none"/>
              </w:rPr>
              <m:t>0</m:t>
            </m:r>
            <m:ctrlPr>
              <w:rPr>
                <w:rFonts w:ascii="Cambria Math" w:hAnsi="Cambria Math" w:eastAsiaTheme="minorEastAsia"/>
                <w:i/>
                <w:sz w:val="22"/>
                <w:szCs w:val="22"/>
                <w:highlight w:val="none"/>
              </w:rPr>
            </m:ctrlPr>
          </m:sub>
        </m:sSub>
      </m:oMath>
      <w:r>
        <w:rPr>
          <w:rFonts w:hint="eastAsia" w:eastAsiaTheme="minorEastAsia"/>
          <w:sz w:val="22"/>
          <w:szCs w:val="22"/>
          <w:highlight w:val="none"/>
        </w:rPr>
        <w:t>、空腔品质因数</w:t>
      </w:r>
      <m:oMath>
        <m:sSub>
          <m:sSubPr>
            <m:ctrlPr>
              <w:rPr>
                <w:rFonts w:ascii="Cambria Math" w:hAnsi="Cambria Math" w:eastAsiaTheme="minorEastAsia"/>
                <w:i/>
                <w:sz w:val="22"/>
                <w:szCs w:val="22"/>
                <w:highlight w:val="none"/>
              </w:rPr>
            </m:ctrlPr>
          </m:sSubPr>
          <m:e>
            <m:r>
              <m:rPr/>
              <w:rPr>
                <w:rFonts w:ascii="Cambria Math" w:hAnsi="Cambria Math" w:eastAsiaTheme="minorEastAsia"/>
                <w:sz w:val="22"/>
                <w:szCs w:val="22"/>
                <w:highlight w:val="none"/>
              </w:rPr>
              <m:t>Q</m:t>
            </m:r>
            <m:ctrlPr>
              <w:rPr>
                <w:rFonts w:ascii="Cambria Math" w:hAnsi="Cambria Math" w:eastAsiaTheme="minorEastAsia"/>
                <w:i/>
                <w:sz w:val="22"/>
                <w:szCs w:val="22"/>
                <w:highlight w:val="none"/>
              </w:rPr>
            </m:ctrlPr>
          </m:e>
          <m:sub>
            <m:r>
              <m:rPr/>
              <w:rPr>
                <w:rFonts w:ascii="Cambria Math" w:hAnsi="Cambria Math" w:eastAsiaTheme="minorEastAsia"/>
                <w:sz w:val="22"/>
                <w:szCs w:val="22"/>
                <w:highlight w:val="none"/>
              </w:rPr>
              <m:t>0</m:t>
            </m:r>
            <m:ctrlPr>
              <w:rPr>
                <w:rFonts w:ascii="Cambria Math" w:hAnsi="Cambria Math" w:eastAsiaTheme="minorEastAsia"/>
                <w:i/>
                <w:sz w:val="22"/>
                <w:szCs w:val="22"/>
                <w:highlight w:val="none"/>
              </w:rPr>
            </m:ctrlPr>
          </m:sub>
        </m:sSub>
      </m:oMath>
      <w:r>
        <w:rPr>
          <w:rFonts w:hint="eastAsia" w:eastAsiaTheme="minorEastAsia"/>
          <w:sz w:val="22"/>
          <w:szCs w:val="22"/>
          <w:highlight w:val="none"/>
        </w:rPr>
        <w:t>、有载谐振频率</w:t>
      </w:r>
      <m:oMath>
        <m:sSub>
          <m:sSubPr>
            <m:ctrlPr>
              <w:rPr>
                <w:rFonts w:ascii="Cambria Math" w:hAnsi="Cambria Math" w:eastAsiaTheme="minorEastAsia"/>
                <w:i/>
                <w:sz w:val="22"/>
                <w:szCs w:val="22"/>
                <w:highlight w:val="none"/>
              </w:rPr>
            </m:ctrlPr>
          </m:sSubPr>
          <m:e>
            <m:r>
              <m:rPr/>
              <w:rPr>
                <w:rFonts w:ascii="Cambria Math" w:hAnsi="Cambria Math" w:eastAsiaTheme="minorEastAsia"/>
                <w:sz w:val="22"/>
                <w:szCs w:val="22"/>
                <w:highlight w:val="none"/>
              </w:rPr>
              <m:t>f</m:t>
            </m:r>
            <m:ctrlPr>
              <w:rPr>
                <w:rFonts w:ascii="Cambria Math" w:hAnsi="Cambria Math" w:eastAsiaTheme="minorEastAsia"/>
                <w:i/>
                <w:sz w:val="22"/>
                <w:szCs w:val="22"/>
                <w:highlight w:val="none"/>
              </w:rPr>
            </m:ctrlPr>
          </m:e>
          <m:sub>
            <m:r>
              <m:rPr/>
              <w:rPr>
                <w:rFonts w:ascii="Cambria Math" w:hAnsi="Cambria Math" w:eastAsiaTheme="minorEastAsia"/>
                <w:sz w:val="22"/>
                <w:szCs w:val="22"/>
                <w:highlight w:val="none"/>
              </w:rPr>
              <m:t>s</m:t>
            </m:r>
            <m:ctrlPr>
              <w:rPr>
                <w:rFonts w:ascii="Cambria Math" w:hAnsi="Cambria Math" w:eastAsiaTheme="minorEastAsia"/>
                <w:i/>
                <w:sz w:val="22"/>
                <w:szCs w:val="22"/>
                <w:highlight w:val="none"/>
              </w:rPr>
            </m:ctrlPr>
          </m:sub>
        </m:sSub>
      </m:oMath>
      <w:r>
        <w:rPr>
          <w:rFonts w:hint="eastAsia" w:eastAsiaTheme="minorEastAsia"/>
          <w:sz w:val="22"/>
          <w:szCs w:val="22"/>
          <w:highlight w:val="none"/>
        </w:rPr>
        <w:t>、有载品质因数</w:t>
      </w:r>
      <m:oMath>
        <m:sSub>
          <m:sSubPr>
            <m:ctrlPr>
              <w:rPr>
                <w:rFonts w:ascii="Cambria Math" w:hAnsi="Cambria Math" w:eastAsiaTheme="minorEastAsia"/>
                <w:i/>
                <w:sz w:val="22"/>
                <w:szCs w:val="22"/>
                <w:highlight w:val="none"/>
              </w:rPr>
            </m:ctrlPr>
          </m:sSubPr>
          <m:e>
            <m:r>
              <m:rPr/>
              <w:rPr>
                <w:rFonts w:ascii="Cambria Math" w:hAnsi="Cambria Math" w:eastAsiaTheme="minorEastAsia"/>
                <w:sz w:val="22"/>
                <w:szCs w:val="22"/>
                <w:highlight w:val="none"/>
              </w:rPr>
              <m:t>Q</m:t>
            </m:r>
            <m:ctrlPr>
              <w:rPr>
                <w:rFonts w:ascii="Cambria Math" w:hAnsi="Cambria Math" w:eastAsiaTheme="minorEastAsia"/>
                <w:i/>
                <w:sz w:val="22"/>
                <w:szCs w:val="22"/>
                <w:highlight w:val="none"/>
              </w:rPr>
            </m:ctrlPr>
          </m:e>
          <m:sub>
            <m:r>
              <m:rPr/>
              <w:rPr>
                <w:rFonts w:ascii="Cambria Math" w:hAnsi="Cambria Math" w:eastAsiaTheme="minorEastAsia"/>
                <w:sz w:val="22"/>
                <w:szCs w:val="22"/>
                <w:highlight w:val="none"/>
              </w:rPr>
              <m:t>s</m:t>
            </m:r>
            <m:ctrlPr>
              <w:rPr>
                <w:rFonts w:ascii="Cambria Math" w:hAnsi="Cambria Math" w:eastAsiaTheme="minorEastAsia"/>
                <w:i/>
                <w:sz w:val="22"/>
                <w:szCs w:val="22"/>
                <w:highlight w:val="none"/>
              </w:rPr>
            </m:ctrlPr>
          </m:sub>
        </m:sSub>
      </m:oMath>
      <w:r>
        <w:rPr>
          <w:rFonts w:hint="eastAsia" w:eastAsiaTheme="minorEastAsia"/>
          <w:sz w:val="22"/>
          <w:szCs w:val="22"/>
          <w:highlight w:val="none"/>
        </w:rPr>
        <w:t>、样品厚度</w:t>
      </w:r>
      <m:oMath>
        <m:r>
          <m:rPr/>
          <w:rPr>
            <w:rFonts w:ascii="Cambria Math" w:hAnsi="Cambria Math" w:eastAsiaTheme="minorEastAsia"/>
            <w:sz w:val="22"/>
            <w:szCs w:val="22"/>
            <w:highlight w:val="none"/>
          </w:rPr>
          <m:t>t</m:t>
        </m:r>
      </m:oMath>
      <w:r>
        <w:rPr>
          <w:rFonts w:hint="eastAsia" w:eastAsiaTheme="minorEastAsia"/>
          <w:sz w:val="22"/>
          <w:szCs w:val="22"/>
          <w:highlight w:val="none"/>
        </w:rPr>
        <w:t>，</w:t>
      </w:r>
      <w:r>
        <w:rPr>
          <w:rFonts w:eastAsiaTheme="minorEastAsia"/>
          <w:sz w:val="22"/>
          <w:szCs w:val="22"/>
          <w:highlight w:val="none"/>
        </w:rPr>
        <w:t>通过超越方程运算得到</w:t>
      </w:r>
      <w:r>
        <w:rPr>
          <w:rFonts w:hint="eastAsia" w:eastAsiaTheme="minorEastAsia"/>
          <w:sz w:val="22"/>
          <w:szCs w:val="22"/>
          <w:highlight w:val="none"/>
        </w:rPr>
        <w:t>损耗角正切</w:t>
      </w:r>
      <m:oMath>
        <m:r>
          <m:rPr/>
          <w:rPr>
            <w:rFonts w:ascii="Cambria Math" w:hAnsi="Cambria Math"/>
            <w:sz w:val="22"/>
            <w:szCs w:val="22"/>
            <w:highlight w:val="none"/>
          </w:rPr>
          <m:t>tanδ</m:t>
        </m:r>
      </m:oMath>
      <w:r>
        <w:rPr>
          <w:rFonts w:hint="eastAsia" w:eastAsiaTheme="minorEastAsia"/>
          <w:sz w:val="22"/>
          <w:szCs w:val="22"/>
          <w:highlight w:val="none"/>
        </w:rPr>
        <w:t>。</w:t>
      </w:r>
    </w:p>
    <w:p w14:paraId="2C58EFA4">
      <w:pPr>
        <w:pStyle w:val="44"/>
        <w:spacing w:line="360" w:lineRule="auto"/>
        <w:ind w:firstLine="0" w:firstLineChars="0"/>
        <w:rPr>
          <w:rFonts w:eastAsiaTheme="minorEastAsia"/>
          <w:sz w:val="22"/>
          <w:szCs w:val="22"/>
          <w:highlight w:val="none"/>
        </w:rPr>
      </w:pPr>
      <w:r>
        <w:rPr>
          <w:rFonts w:hint="eastAsia" w:eastAsiaTheme="minorEastAsia"/>
          <w:bCs w:val="0"/>
          <w:sz w:val="22"/>
          <w:szCs w:val="22"/>
          <w:highlight w:val="none"/>
        </w:rPr>
        <w:t>（</w:t>
      </w:r>
      <w:r>
        <w:rPr>
          <w:rFonts w:eastAsiaTheme="minorEastAsia"/>
          <w:sz w:val="22"/>
          <w:szCs w:val="22"/>
          <w:highlight w:val="none"/>
        </w:rPr>
        <w:t>6</w:t>
      </w:r>
      <w:r>
        <w:rPr>
          <w:rFonts w:hint="eastAsia" w:eastAsiaTheme="minorEastAsia"/>
          <w:sz w:val="22"/>
          <w:szCs w:val="22"/>
          <w:highlight w:val="none"/>
        </w:rPr>
        <w:t>）重复测试步骤</w:t>
      </w:r>
      <w:r>
        <w:rPr>
          <w:rFonts w:hint="eastAsia" w:eastAsiaTheme="minorEastAsia"/>
          <w:bCs w:val="0"/>
          <w:sz w:val="22"/>
          <w:szCs w:val="22"/>
          <w:highlight w:val="none"/>
        </w:rPr>
        <w:t>（</w:t>
      </w:r>
      <w:r>
        <w:rPr>
          <w:rFonts w:eastAsiaTheme="minorEastAsia"/>
          <w:sz w:val="22"/>
          <w:szCs w:val="22"/>
          <w:highlight w:val="none"/>
        </w:rPr>
        <w:t>2</w:t>
      </w:r>
      <w:r>
        <w:rPr>
          <w:rFonts w:hint="eastAsia" w:eastAsiaTheme="minorEastAsia"/>
          <w:sz w:val="22"/>
          <w:szCs w:val="22"/>
          <w:highlight w:val="none"/>
        </w:rPr>
        <w:t>）</w:t>
      </w:r>
      <w:r>
        <w:rPr>
          <w:rFonts w:eastAsiaTheme="minorEastAsia"/>
          <w:sz w:val="22"/>
          <w:szCs w:val="22"/>
          <w:highlight w:val="none"/>
        </w:rPr>
        <w:t>~</w:t>
      </w:r>
      <w:r>
        <w:rPr>
          <w:rFonts w:hint="eastAsia" w:eastAsiaTheme="minorEastAsia"/>
          <w:bCs w:val="0"/>
          <w:sz w:val="22"/>
          <w:szCs w:val="22"/>
          <w:highlight w:val="none"/>
        </w:rPr>
        <w:t>（</w:t>
      </w:r>
      <w:r>
        <w:rPr>
          <w:rFonts w:eastAsiaTheme="minorEastAsia"/>
          <w:sz w:val="22"/>
          <w:szCs w:val="22"/>
          <w:highlight w:val="none"/>
        </w:rPr>
        <w:t>5</w:t>
      </w:r>
      <w:r>
        <w:rPr>
          <w:rFonts w:hint="eastAsia" w:eastAsiaTheme="minorEastAsia"/>
          <w:sz w:val="22"/>
          <w:szCs w:val="22"/>
          <w:highlight w:val="none"/>
        </w:rPr>
        <w:t>），完成其他固体电介质标样的测试。</w:t>
      </w:r>
    </w:p>
    <w:p w14:paraId="1AEEE8CD">
      <w:pPr>
        <w:pStyle w:val="2"/>
        <w:spacing w:before="120" w:beforeLines="50" w:after="0" w:line="360" w:lineRule="auto"/>
        <w:rPr>
          <w:rFonts w:eastAsiaTheme="minorEastAsia"/>
          <w:bCs w:val="0"/>
          <w:sz w:val="24"/>
          <w:szCs w:val="24"/>
          <w:highlight w:val="none"/>
        </w:rPr>
      </w:pPr>
      <w:bookmarkStart w:id="52" w:name="_Toc28706"/>
      <w:bookmarkStart w:id="53" w:name="_Toc93494373"/>
      <w:bookmarkStart w:id="54" w:name="_Toc342"/>
      <w:bookmarkStart w:id="55" w:name="_Toc24365"/>
      <w:bookmarkStart w:id="56" w:name="_Toc96"/>
      <w:r>
        <w:rPr>
          <w:rFonts w:eastAsiaTheme="minorEastAsia"/>
          <w:bCs w:val="0"/>
          <w:sz w:val="24"/>
          <w:szCs w:val="24"/>
          <w:highlight w:val="none"/>
        </w:rPr>
        <w:t xml:space="preserve">8 </w:t>
      </w:r>
      <w:bookmarkEnd w:id="52"/>
      <w:bookmarkEnd w:id="53"/>
      <w:r>
        <w:rPr>
          <w:rFonts w:hint="eastAsia" w:eastAsiaTheme="minorEastAsia"/>
          <w:bCs w:val="0"/>
          <w:sz w:val="24"/>
          <w:szCs w:val="24"/>
          <w:highlight w:val="none"/>
        </w:rPr>
        <w:t>校准结果</w:t>
      </w:r>
    </w:p>
    <w:p w14:paraId="180FA92E">
      <w:pPr>
        <w:pStyle w:val="44"/>
        <w:spacing w:line="360" w:lineRule="auto"/>
        <w:ind w:firstLine="440"/>
        <w:rPr>
          <w:rFonts w:eastAsiaTheme="minorEastAsia"/>
          <w:sz w:val="22"/>
          <w:szCs w:val="22"/>
          <w:highlight w:val="none"/>
        </w:rPr>
      </w:pPr>
      <w:r>
        <w:rPr>
          <w:rFonts w:hint="eastAsia" w:eastAsiaTheme="minorEastAsia"/>
          <w:sz w:val="22"/>
          <w:szCs w:val="22"/>
          <w:highlight w:val="none"/>
        </w:rPr>
        <w:t>校准结果应在校准证书上反映。校准证书应准确、客观的报告校准结果，校准结果以校准数据、校准曲线等形式给出。校准证书应包括委托方要求的、说明校准结果所必需的和所用方法要求的全部信息。校准证书应至少包括以下信息：</w:t>
      </w:r>
    </w:p>
    <w:p w14:paraId="6CF7ACA6">
      <w:pPr>
        <w:pStyle w:val="44"/>
        <w:spacing w:line="360" w:lineRule="auto"/>
        <w:ind w:firstLine="440"/>
        <w:rPr>
          <w:rFonts w:eastAsiaTheme="minorEastAsia"/>
          <w:sz w:val="22"/>
          <w:szCs w:val="22"/>
          <w:highlight w:val="none"/>
        </w:rPr>
      </w:pPr>
      <w:r>
        <w:rPr>
          <w:rFonts w:eastAsiaTheme="minorEastAsia"/>
          <w:sz w:val="22"/>
          <w:szCs w:val="22"/>
          <w:highlight w:val="none"/>
        </w:rPr>
        <w:t>a</w:t>
      </w:r>
      <w:r>
        <w:rPr>
          <w:rFonts w:hint="eastAsia" w:eastAsiaTheme="minorEastAsia"/>
          <w:sz w:val="22"/>
          <w:szCs w:val="22"/>
          <w:highlight w:val="none"/>
        </w:rPr>
        <w:t>）标题：“校准证书”；</w:t>
      </w:r>
    </w:p>
    <w:p w14:paraId="6367AC74">
      <w:pPr>
        <w:pStyle w:val="44"/>
        <w:spacing w:line="360" w:lineRule="auto"/>
        <w:ind w:firstLine="440"/>
        <w:rPr>
          <w:rFonts w:eastAsiaTheme="minorEastAsia"/>
          <w:sz w:val="22"/>
          <w:szCs w:val="22"/>
          <w:highlight w:val="none"/>
        </w:rPr>
      </w:pPr>
      <w:r>
        <w:rPr>
          <w:rFonts w:eastAsiaTheme="minorEastAsia"/>
          <w:sz w:val="22"/>
          <w:szCs w:val="22"/>
          <w:highlight w:val="none"/>
        </w:rPr>
        <w:t>b</w:t>
      </w:r>
      <w:r>
        <w:rPr>
          <w:rFonts w:hint="eastAsia" w:eastAsiaTheme="minorEastAsia"/>
          <w:sz w:val="22"/>
          <w:szCs w:val="22"/>
          <w:highlight w:val="none"/>
        </w:rPr>
        <w:t>）实验室名称和地址；</w:t>
      </w:r>
    </w:p>
    <w:p w14:paraId="5BD16771">
      <w:pPr>
        <w:pStyle w:val="44"/>
        <w:spacing w:line="360" w:lineRule="auto"/>
        <w:ind w:firstLine="440"/>
        <w:rPr>
          <w:rFonts w:eastAsiaTheme="minorEastAsia"/>
          <w:sz w:val="22"/>
          <w:szCs w:val="22"/>
          <w:highlight w:val="none"/>
        </w:rPr>
      </w:pPr>
      <w:r>
        <w:rPr>
          <w:rFonts w:eastAsiaTheme="minorEastAsia"/>
          <w:sz w:val="22"/>
          <w:szCs w:val="22"/>
          <w:highlight w:val="none"/>
        </w:rPr>
        <w:t>c</w:t>
      </w:r>
      <w:r>
        <w:rPr>
          <w:rFonts w:hint="eastAsia" w:eastAsiaTheme="minorEastAsia"/>
          <w:sz w:val="22"/>
          <w:szCs w:val="22"/>
          <w:highlight w:val="none"/>
        </w:rPr>
        <w:t>）进行校准的地点（如果与实验室的地址不同）；</w:t>
      </w:r>
    </w:p>
    <w:p w14:paraId="5453D961">
      <w:pPr>
        <w:pStyle w:val="44"/>
        <w:spacing w:line="360" w:lineRule="auto"/>
        <w:ind w:firstLine="440"/>
        <w:rPr>
          <w:rFonts w:eastAsiaTheme="minorEastAsia"/>
          <w:sz w:val="22"/>
          <w:szCs w:val="22"/>
          <w:highlight w:val="none"/>
        </w:rPr>
      </w:pPr>
      <w:r>
        <w:rPr>
          <w:rFonts w:eastAsiaTheme="minorEastAsia"/>
          <w:sz w:val="22"/>
          <w:szCs w:val="22"/>
          <w:highlight w:val="none"/>
        </w:rPr>
        <w:t>d</w:t>
      </w:r>
      <w:r>
        <w:rPr>
          <w:rFonts w:hint="eastAsia" w:eastAsiaTheme="minorEastAsia"/>
          <w:sz w:val="22"/>
          <w:szCs w:val="22"/>
          <w:highlight w:val="none"/>
        </w:rPr>
        <w:t>）证书的唯一性标识（如编号），每页及总页数的标识；</w:t>
      </w:r>
    </w:p>
    <w:p w14:paraId="37381250">
      <w:pPr>
        <w:pStyle w:val="44"/>
        <w:spacing w:line="360" w:lineRule="auto"/>
        <w:ind w:firstLine="440"/>
        <w:rPr>
          <w:rFonts w:eastAsiaTheme="minorEastAsia"/>
          <w:sz w:val="22"/>
          <w:szCs w:val="22"/>
          <w:highlight w:val="none"/>
        </w:rPr>
      </w:pPr>
      <w:r>
        <w:rPr>
          <w:rFonts w:eastAsiaTheme="minorEastAsia"/>
          <w:sz w:val="22"/>
          <w:szCs w:val="22"/>
          <w:highlight w:val="none"/>
        </w:rPr>
        <w:t>e</w:t>
      </w:r>
      <w:r>
        <w:rPr>
          <w:rFonts w:hint="eastAsia" w:eastAsiaTheme="minorEastAsia"/>
          <w:sz w:val="22"/>
          <w:szCs w:val="22"/>
          <w:highlight w:val="none"/>
        </w:rPr>
        <w:t>）客户的名称和地址；</w:t>
      </w:r>
    </w:p>
    <w:p w14:paraId="1D8BAB7D">
      <w:pPr>
        <w:pStyle w:val="44"/>
        <w:spacing w:line="360" w:lineRule="auto"/>
        <w:ind w:firstLine="440"/>
        <w:rPr>
          <w:rFonts w:eastAsiaTheme="minorEastAsia"/>
          <w:sz w:val="22"/>
          <w:szCs w:val="22"/>
          <w:highlight w:val="none"/>
        </w:rPr>
      </w:pPr>
      <w:r>
        <w:rPr>
          <w:rFonts w:hint="eastAsia" w:eastAsiaTheme="minorEastAsia"/>
          <w:sz w:val="22"/>
          <w:szCs w:val="22"/>
          <w:highlight w:val="none"/>
        </w:rPr>
        <w:t>f）被校对象的描述和明确标识；</w:t>
      </w:r>
    </w:p>
    <w:p w14:paraId="49142B96">
      <w:pPr>
        <w:pStyle w:val="44"/>
        <w:spacing w:line="360" w:lineRule="auto"/>
        <w:ind w:firstLine="440"/>
        <w:rPr>
          <w:rFonts w:eastAsiaTheme="minorEastAsia"/>
          <w:sz w:val="22"/>
          <w:szCs w:val="22"/>
          <w:highlight w:val="none"/>
        </w:rPr>
      </w:pPr>
      <w:r>
        <w:rPr>
          <w:rFonts w:hint="eastAsia" w:eastAsiaTheme="minorEastAsia"/>
          <w:sz w:val="22"/>
          <w:szCs w:val="22"/>
          <w:highlight w:val="none"/>
        </w:rPr>
        <w:t>g）进行校准的日期，如果与校准结果的有效性和应用有关时，应说明被校对象的接收日期；</w:t>
      </w:r>
    </w:p>
    <w:p w14:paraId="09E69CC7">
      <w:pPr>
        <w:pStyle w:val="44"/>
        <w:spacing w:line="360" w:lineRule="auto"/>
        <w:ind w:firstLine="440"/>
        <w:rPr>
          <w:rFonts w:eastAsiaTheme="minorEastAsia"/>
          <w:sz w:val="22"/>
          <w:szCs w:val="22"/>
          <w:highlight w:val="none"/>
        </w:rPr>
      </w:pPr>
      <w:r>
        <w:rPr>
          <w:rFonts w:eastAsiaTheme="minorEastAsia"/>
          <w:sz w:val="22"/>
          <w:szCs w:val="22"/>
          <w:highlight w:val="none"/>
        </w:rPr>
        <w:t>h</w:t>
      </w:r>
      <w:r>
        <w:rPr>
          <w:rFonts w:hint="eastAsia" w:eastAsiaTheme="minorEastAsia"/>
          <w:sz w:val="22"/>
          <w:szCs w:val="22"/>
          <w:highlight w:val="none"/>
        </w:rPr>
        <w:t>）如果与校准结果的有效性应用有关时，应对被校样品的抽样程序进行说明；</w:t>
      </w:r>
    </w:p>
    <w:p w14:paraId="23B937C7">
      <w:pPr>
        <w:pStyle w:val="44"/>
        <w:spacing w:line="360" w:lineRule="auto"/>
        <w:ind w:firstLine="440"/>
        <w:rPr>
          <w:rFonts w:eastAsiaTheme="minorEastAsia"/>
          <w:sz w:val="22"/>
          <w:szCs w:val="22"/>
          <w:highlight w:val="none"/>
        </w:rPr>
      </w:pPr>
      <w:r>
        <w:rPr>
          <w:rFonts w:eastAsiaTheme="minorEastAsia"/>
          <w:sz w:val="22"/>
          <w:szCs w:val="22"/>
          <w:highlight w:val="none"/>
        </w:rPr>
        <w:t>i</w:t>
      </w:r>
      <w:r>
        <w:rPr>
          <w:rFonts w:hint="eastAsia" w:eastAsiaTheme="minorEastAsia"/>
          <w:sz w:val="22"/>
          <w:szCs w:val="22"/>
          <w:highlight w:val="none"/>
        </w:rPr>
        <w:t>）校准所依据的技术规范的标识，包括名称及代号；</w:t>
      </w:r>
    </w:p>
    <w:p w14:paraId="5FD6F00A">
      <w:pPr>
        <w:pStyle w:val="44"/>
        <w:spacing w:line="360" w:lineRule="auto"/>
        <w:ind w:firstLine="440"/>
        <w:rPr>
          <w:rFonts w:eastAsiaTheme="minorEastAsia"/>
          <w:sz w:val="22"/>
          <w:szCs w:val="22"/>
          <w:highlight w:val="none"/>
        </w:rPr>
      </w:pPr>
      <w:r>
        <w:rPr>
          <w:rFonts w:eastAsiaTheme="minorEastAsia"/>
          <w:sz w:val="22"/>
          <w:szCs w:val="22"/>
          <w:highlight w:val="none"/>
        </w:rPr>
        <w:t>k</w:t>
      </w:r>
      <w:r>
        <w:rPr>
          <w:rFonts w:hint="eastAsia" w:eastAsiaTheme="minorEastAsia"/>
          <w:sz w:val="22"/>
          <w:szCs w:val="22"/>
          <w:highlight w:val="none"/>
        </w:rPr>
        <w:t>）校准环境的描述；</w:t>
      </w:r>
    </w:p>
    <w:p w14:paraId="291DFFA9">
      <w:pPr>
        <w:pStyle w:val="44"/>
        <w:spacing w:line="360" w:lineRule="auto"/>
        <w:ind w:firstLine="440"/>
        <w:rPr>
          <w:rFonts w:eastAsiaTheme="minorEastAsia"/>
          <w:sz w:val="22"/>
          <w:szCs w:val="22"/>
          <w:highlight w:val="none"/>
        </w:rPr>
      </w:pPr>
      <w:r>
        <w:rPr>
          <w:rFonts w:hint="eastAsia" w:eastAsiaTheme="minorEastAsia"/>
          <w:sz w:val="22"/>
          <w:szCs w:val="22"/>
          <w:highlight w:val="none"/>
        </w:rPr>
        <w:t>l）校准结果及其测量不确定度的说明；</w:t>
      </w:r>
    </w:p>
    <w:p w14:paraId="55803184">
      <w:pPr>
        <w:pStyle w:val="44"/>
        <w:spacing w:line="360" w:lineRule="auto"/>
        <w:ind w:firstLine="440"/>
        <w:rPr>
          <w:rFonts w:eastAsiaTheme="minorEastAsia"/>
          <w:sz w:val="22"/>
          <w:szCs w:val="22"/>
          <w:highlight w:val="none"/>
        </w:rPr>
      </w:pPr>
      <w:r>
        <w:rPr>
          <w:rFonts w:hint="eastAsia" w:eastAsiaTheme="minorEastAsia"/>
          <w:sz w:val="22"/>
          <w:szCs w:val="22"/>
          <w:highlight w:val="none"/>
        </w:rPr>
        <w:t>m）对校准规范的偏离的说明；</w:t>
      </w:r>
    </w:p>
    <w:p w14:paraId="34D65942">
      <w:pPr>
        <w:pStyle w:val="44"/>
        <w:spacing w:line="360" w:lineRule="auto"/>
        <w:ind w:firstLine="440"/>
        <w:rPr>
          <w:rFonts w:eastAsiaTheme="minorEastAsia"/>
          <w:sz w:val="22"/>
          <w:szCs w:val="22"/>
          <w:highlight w:val="none"/>
        </w:rPr>
      </w:pPr>
      <w:r>
        <w:rPr>
          <w:rFonts w:eastAsiaTheme="minorEastAsia"/>
          <w:sz w:val="22"/>
          <w:szCs w:val="22"/>
          <w:highlight w:val="none"/>
        </w:rPr>
        <w:t>n</w:t>
      </w:r>
      <w:r>
        <w:rPr>
          <w:rFonts w:hint="eastAsia" w:eastAsiaTheme="minorEastAsia"/>
          <w:sz w:val="22"/>
          <w:szCs w:val="22"/>
          <w:highlight w:val="none"/>
        </w:rPr>
        <w:t>）校准证书或校准报告签发人的签名、职务或等效标识；</w:t>
      </w:r>
    </w:p>
    <w:p w14:paraId="68BFE693">
      <w:pPr>
        <w:pStyle w:val="44"/>
        <w:spacing w:line="360" w:lineRule="auto"/>
        <w:ind w:firstLine="440"/>
        <w:rPr>
          <w:rFonts w:eastAsiaTheme="minorEastAsia"/>
          <w:sz w:val="22"/>
          <w:szCs w:val="22"/>
          <w:highlight w:val="none"/>
        </w:rPr>
      </w:pPr>
      <w:r>
        <w:rPr>
          <w:rFonts w:hint="eastAsia" w:eastAsiaTheme="minorEastAsia"/>
          <w:sz w:val="22"/>
          <w:szCs w:val="22"/>
          <w:highlight w:val="none"/>
        </w:rPr>
        <w:t>o）校准结果仅对被校对象有效的声明；</w:t>
      </w:r>
    </w:p>
    <w:p w14:paraId="4D25FD01">
      <w:pPr>
        <w:pStyle w:val="44"/>
        <w:spacing w:line="360" w:lineRule="auto"/>
        <w:ind w:firstLine="440"/>
        <w:rPr>
          <w:rFonts w:eastAsiaTheme="minorEastAsia"/>
          <w:sz w:val="22"/>
          <w:szCs w:val="22"/>
          <w:highlight w:val="none"/>
        </w:rPr>
      </w:pPr>
      <w:r>
        <w:rPr>
          <w:rFonts w:hint="eastAsia" w:eastAsiaTheme="minorEastAsia"/>
          <w:sz w:val="22"/>
          <w:szCs w:val="22"/>
          <w:highlight w:val="none"/>
        </w:rPr>
        <w:t>p）未经实验室书面批准，不得部分复制证书的声明。</w:t>
      </w:r>
    </w:p>
    <w:p w14:paraId="445FF6FB">
      <w:pPr>
        <w:pStyle w:val="2"/>
        <w:spacing w:before="120" w:beforeLines="50" w:after="0" w:line="360" w:lineRule="auto"/>
        <w:rPr>
          <w:rFonts w:eastAsiaTheme="minorEastAsia"/>
          <w:bCs w:val="0"/>
          <w:sz w:val="24"/>
          <w:szCs w:val="24"/>
          <w:highlight w:val="none"/>
        </w:rPr>
      </w:pPr>
      <w:r>
        <w:rPr>
          <w:rFonts w:eastAsiaTheme="minorEastAsia"/>
          <w:bCs w:val="0"/>
          <w:sz w:val="24"/>
          <w:szCs w:val="24"/>
          <w:highlight w:val="none"/>
        </w:rPr>
        <w:t>9</w:t>
      </w:r>
      <w:r>
        <w:rPr>
          <w:rFonts w:hint="eastAsia" w:eastAsiaTheme="minorEastAsia"/>
          <w:bCs w:val="0"/>
          <w:sz w:val="24"/>
          <w:szCs w:val="24"/>
          <w:highlight w:val="none"/>
        </w:rPr>
        <w:t>复校时间间隔</w:t>
      </w:r>
    </w:p>
    <w:p w14:paraId="1EE085A6">
      <w:pPr>
        <w:pStyle w:val="44"/>
        <w:spacing w:line="360" w:lineRule="auto"/>
        <w:ind w:firstLine="440"/>
        <w:rPr>
          <w:rFonts w:eastAsiaTheme="minorEastAsia"/>
          <w:sz w:val="22"/>
          <w:szCs w:val="22"/>
          <w:highlight w:val="none"/>
        </w:rPr>
      </w:pPr>
      <w:r>
        <w:rPr>
          <w:rFonts w:hint="eastAsia" w:eastAsiaTheme="minorEastAsia"/>
          <w:sz w:val="22"/>
          <w:szCs w:val="22"/>
          <w:highlight w:val="none"/>
        </w:rPr>
        <w:t>建议复校时间间隔为1</w:t>
      </w:r>
      <w:r>
        <w:rPr>
          <w:rFonts w:eastAsiaTheme="minorEastAsia"/>
          <w:sz w:val="22"/>
          <w:szCs w:val="22"/>
          <w:highlight w:val="none"/>
        </w:rPr>
        <w:t>2</w:t>
      </w:r>
      <w:r>
        <w:rPr>
          <w:rFonts w:hint="eastAsia" w:eastAsiaTheme="minorEastAsia"/>
          <w:sz w:val="22"/>
          <w:szCs w:val="22"/>
          <w:highlight w:val="none"/>
        </w:rPr>
        <w:t>个月。由于复校时间间隔的长短是由仪器的使用情况、使用者、仪器本身质量等诸因素所决定的，因此，送校单位可根据实际使用情况自主决定复校时间间隔。</w:t>
      </w:r>
    </w:p>
    <w:p w14:paraId="5DFC870E">
      <w:pPr>
        <w:pStyle w:val="2"/>
        <w:spacing w:before="120" w:beforeLines="50" w:after="0" w:line="360" w:lineRule="auto"/>
        <w:rPr>
          <w:rFonts w:eastAsiaTheme="minorEastAsia"/>
          <w:bCs w:val="0"/>
          <w:sz w:val="24"/>
          <w:szCs w:val="24"/>
          <w:highlight w:val="none"/>
        </w:rPr>
      </w:pPr>
      <w:r>
        <w:rPr>
          <w:rFonts w:eastAsiaTheme="minorEastAsia"/>
          <w:bCs w:val="0"/>
          <w:sz w:val="24"/>
          <w:szCs w:val="24"/>
          <w:highlight w:val="none"/>
        </w:rPr>
        <w:t>10</w:t>
      </w:r>
      <w:r>
        <w:rPr>
          <w:rFonts w:hint="eastAsia" w:eastAsiaTheme="minorEastAsia"/>
          <w:bCs w:val="0"/>
          <w:sz w:val="24"/>
          <w:szCs w:val="24"/>
          <w:highlight w:val="none"/>
        </w:rPr>
        <w:t>附录</w:t>
      </w:r>
    </w:p>
    <w:p w14:paraId="4E449122">
      <w:pPr>
        <w:widowControl/>
        <w:jc w:val="left"/>
        <w:rPr>
          <w:rFonts w:eastAsiaTheme="minorEastAsia"/>
          <w:sz w:val="20"/>
          <w:szCs w:val="22"/>
          <w:highlight w:val="none"/>
        </w:rPr>
      </w:pPr>
      <w:r>
        <w:rPr>
          <w:rFonts w:eastAsiaTheme="minorEastAsia"/>
          <w:sz w:val="22"/>
          <w:szCs w:val="22"/>
          <w:highlight w:val="none"/>
        </w:rPr>
        <w:br w:type="page"/>
      </w:r>
    </w:p>
    <w:bookmarkEnd w:id="54"/>
    <w:bookmarkEnd w:id="55"/>
    <w:bookmarkEnd w:id="56"/>
    <w:p w14:paraId="37809527">
      <w:pPr>
        <w:pStyle w:val="2"/>
        <w:spacing w:before="0" w:after="0" w:line="240" w:lineRule="auto"/>
        <w:rPr>
          <w:rFonts w:eastAsiaTheme="minorEastAsia"/>
          <w:b w:val="0"/>
          <w:sz w:val="24"/>
          <w:szCs w:val="24"/>
          <w:highlight w:val="none"/>
        </w:rPr>
      </w:pPr>
      <w:bookmarkStart w:id="57" w:name="_Toc31775"/>
      <w:bookmarkStart w:id="58" w:name="_Toc30340"/>
      <w:bookmarkStart w:id="59" w:name="_Toc32416"/>
      <w:bookmarkStart w:id="60" w:name="_Toc21311"/>
      <w:bookmarkStart w:id="61" w:name="_Toc24877"/>
      <w:r>
        <w:rPr>
          <w:rFonts w:eastAsiaTheme="minorEastAsia"/>
          <w:b w:val="0"/>
          <w:sz w:val="24"/>
          <w:szCs w:val="24"/>
          <w:highlight w:val="none"/>
        </w:rPr>
        <w:t>附录A</w:t>
      </w:r>
      <w:bookmarkEnd w:id="57"/>
    </w:p>
    <w:p w14:paraId="5AE6BDCD">
      <w:pPr>
        <w:jc w:val="center"/>
        <w:rPr>
          <w:rFonts w:eastAsiaTheme="minorEastAsia"/>
          <w:sz w:val="24"/>
          <w:highlight w:val="none"/>
        </w:rPr>
      </w:pPr>
      <w:r>
        <w:rPr>
          <w:rFonts w:eastAsiaTheme="minorEastAsia"/>
          <w:sz w:val="24"/>
          <w:highlight w:val="none"/>
        </w:rPr>
        <w:t>***准光腔</w:t>
      </w:r>
      <w:r>
        <w:rPr>
          <w:rFonts w:hint="eastAsia" w:eastAsiaTheme="minorEastAsia"/>
          <w:sz w:val="24"/>
          <w:highlight w:val="none"/>
        </w:rPr>
        <w:t>法介电常数测量系统校准报告</w:t>
      </w:r>
      <w:r>
        <w:rPr>
          <w:rFonts w:eastAsiaTheme="minorEastAsia"/>
          <w:sz w:val="24"/>
          <w:highlight w:val="none"/>
        </w:rPr>
        <w:t>原始记录</w:t>
      </w:r>
    </w:p>
    <w:p w14:paraId="610C49FF">
      <w:pPr>
        <w:jc w:val="center"/>
        <w:rPr>
          <w:rFonts w:eastAsiaTheme="minorEastAsia"/>
          <w:sz w:val="24"/>
          <w:highlight w:val="none"/>
        </w:rPr>
      </w:pPr>
      <w:r>
        <w:rPr>
          <w:rFonts w:eastAsiaTheme="minorEastAsia"/>
          <w:sz w:val="24"/>
          <w:highlight w:val="none"/>
        </w:rPr>
        <w:t>（参考格式）</w:t>
      </w:r>
    </w:p>
    <w:bookmarkEnd w:id="58"/>
    <w:bookmarkEnd w:id="59"/>
    <w:bookmarkEnd w:id="60"/>
    <w:bookmarkEnd w:id="61"/>
    <w:p w14:paraId="2F7FA463">
      <w:pPr>
        <w:spacing w:before="120" w:beforeLines="50" w:after="120" w:afterLines="50"/>
        <w:ind w:firstLine="420" w:firstLineChars="200"/>
        <w:jc w:val="left"/>
        <w:rPr>
          <w:bCs/>
          <w:highlight w:val="none"/>
        </w:rPr>
      </w:pPr>
      <w:bookmarkStart w:id="62" w:name="_Toc400715021"/>
      <w:bookmarkStart w:id="63" w:name="_Toc2113"/>
      <w:bookmarkStart w:id="64" w:name="_Toc18923"/>
      <w:bookmarkStart w:id="65" w:name="_Toc1865"/>
      <w:r>
        <w:rPr>
          <w:rFonts w:hint="eastAsia"/>
          <w:bCs/>
          <w:highlight w:val="none"/>
        </w:rPr>
        <w:t>准光腔法</w:t>
      </w:r>
      <w:r>
        <w:rPr>
          <w:bCs/>
          <w:highlight w:val="none"/>
        </w:rPr>
        <w:t>介电</w:t>
      </w:r>
      <w:r>
        <w:rPr>
          <w:rFonts w:hint="eastAsia"/>
          <w:bCs/>
          <w:highlight w:val="none"/>
        </w:rPr>
        <w:t>常数测量系统校准</w:t>
      </w:r>
      <w:r>
        <w:rPr>
          <w:bCs/>
          <w:highlight w:val="none"/>
        </w:rPr>
        <w:t>报告格式示例见表A.1 。</w:t>
      </w:r>
    </w:p>
    <w:p w14:paraId="4ED24141">
      <w:pPr>
        <w:spacing w:before="120" w:beforeLines="50" w:after="120" w:afterLines="50"/>
        <w:jc w:val="center"/>
        <w:rPr>
          <w:rFonts w:eastAsia="等线"/>
          <w:highlight w:val="none"/>
        </w:rPr>
      </w:pPr>
      <w:r>
        <w:rPr>
          <w:rFonts w:hint="eastAsia" w:ascii="黑体" w:hAnsi="黑体" w:eastAsia="黑体"/>
          <w:bCs/>
          <w:highlight w:val="none"/>
        </w:rPr>
        <w:t>表</w:t>
      </w:r>
      <w:r>
        <w:rPr>
          <w:rFonts w:ascii="黑体" w:hAnsi="黑体" w:eastAsia="黑体"/>
          <w:bCs/>
          <w:highlight w:val="none"/>
        </w:rPr>
        <w:t>A</w:t>
      </w:r>
      <w:r>
        <w:rPr>
          <w:rFonts w:hint="eastAsia" w:ascii="黑体" w:hAnsi="黑体" w:eastAsia="黑体"/>
          <w:bCs/>
          <w:highlight w:val="none"/>
        </w:rPr>
        <w:t>.1 准光腔法</w:t>
      </w:r>
      <w:r>
        <w:rPr>
          <w:rFonts w:ascii="黑体" w:hAnsi="黑体" w:eastAsia="黑体"/>
          <w:bCs/>
          <w:highlight w:val="none"/>
        </w:rPr>
        <w:t>介电</w:t>
      </w:r>
      <w:r>
        <w:rPr>
          <w:rFonts w:hint="eastAsia" w:ascii="黑体" w:hAnsi="黑体" w:eastAsia="黑体"/>
          <w:bCs/>
          <w:highlight w:val="none"/>
        </w:rPr>
        <w:t>常数测量系统校准报告格式示例</w:t>
      </w:r>
      <w:r>
        <w:rPr>
          <w:rFonts w:hint="eastAsia"/>
          <w:bCs/>
          <w:highlight w:val="none"/>
        </w:rPr>
        <w:t xml:space="preserve"> </w:t>
      </w:r>
      <w:r>
        <w:rPr>
          <w:b/>
          <w:highlight w:val="none"/>
        </w:rPr>
        <w:t xml:space="preserve">                         </w:t>
      </w:r>
    </w:p>
    <w:tbl>
      <w:tblPr>
        <w:tblStyle w:val="18"/>
        <w:tblW w:w="90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5"/>
        <w:gridCol w:w="654"/>
        <w:gridCol w:w="597"/>
        <w:gridCol w:w="1938"/>
        <w:gridCol w:w="44"/>
        <w:gridCol w:w="1493"/>
        <w:gridCol w:w="595"/>
        <w:gridCol w:w="2472"/>
      </w:tblGrid>
      <w:tr w14:paraId="7488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869" w:type="dxa"/>
            <w:gridSpan w:val="2"/>
          </w:tcPr>
          <w:p w14:paraId="731E4BE7">
            <w:pPr>
              <w:spacing w:line="360" w:lineRule="auto"/>
              <w:ind w:right="39"/>
              <w:jc w:val="center"/>
              <w:rPr>
                <w:highlight w:val="none"/>
              </w:rPr>
            </w:pPr>
            <w:r>
              <w:rPr>
                <w:highlight w:val="none"/>
              </w:rPr>
              <w:t>委托单号</w:t>
            </w:r>
          </w:p>
        </w:tc>
        <w:tc>
          <w:tcPr>
            <w:tcW w:w="2535" w:type="dxa"/>
            <w:gridSpan w:val="2"/>
          </w:tcPr>
          <w:p w14:paraId="6C52CF55">
            <w:pPr>
              <w:spacing w:line="360" w:lineRule="auto"/>
              <w:ind w:right="480"/>
              <w:jc w:val="center"/>
              <w:rPr>
                <w:highlight w:val="none"/>
              </w:rPr>
            </w:pPr>
          </w:p>
        </w:tc>
        <w:tc>
          <w:tcPr>
            <w:tcW w:w="1537" w:type="dxa"/>
            <w:gridSpan w:val="2"/>
          </w:tcPr>
          <w:p w14:paraId="3FE8D7CE">
            <w:pPr>
              <w:spacing w:line="360" w:lineRule="auto"/>
              <w:jc w:val="center"/>
              <w:rPr>
                <w:highlight w:val="none"/>
              </w:rPr>
            </w:pPr>
            <w:r>
              <w:rPr>
                <w:highlight w:val="none"/>
              </w:rPr>
              <w:t>样品编号</w:t>
            </w:r>
          </w:p>
        </w:tc>
        <w:tc>
          <w:tcPr>
            <w:tcW w:w="3066" w:type="dxa"/>
            <w:gridSpan w:val="2"/>
          </w:tcPr>
          <w:p w14:paraId="62ABD147">
            <w:pPr>
              <w:spacing w:line="360" w:lineRule="auto"/>
              <w:ind w:right="480"/>
              <w:jc w:val="center"/>
              <w:rPr>
                <w:highlight w:val="none"/>
              </w:rPr>
            </w:pPr>
          </w:p>
        </w:tc>
      </w:tr>
      <w:tr w14:paraId="602C8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869" w:type="dxa"/>
            <w:gridSpan w:val="2"/>
          </w:tcPr>
          <w:p w14:paraId="304A3C35">
            <w:pPr>
              <w:spacing w:line="360" w:lineRule="auto"/>
              <w:jc w:val="center"/>
              <w:rPr>
                <w:highlight w:val="none"/>
              </w:rPr>
            </w:pPr>
            <w:r>
              <w:rPr>
                <w:highlight w:val="none"/>
              </w:rPr>
              <w:t>设备名称</w:t>
            </w:r>
          </w:p>
        </w:tc>
        <w:tc>
          <w:tcPr>
            <w:tcW w:w="2535" w:type="dxa"/>
            <w:gridSpan w:val="2"/>
          </w:tcPr>
          <w:p w14:paraId="2AF47F91">
            <w:pPr>
              <w:spacing w:line="360" w:lineRule="auto"/>
              <w:jc w:val="center"/>
              <w:rPr>
                <w:highlight w:val="none"/>
              </w:rPr>
            </w:pPr>
          </w:p>
        </w:tc>
        <w:tc>
          <w:tcPr>
            <w:tcW w:w="1537" w:type="dxa"/>
            <w:gridSpan w:val="2"/>
          </w:tcPr>
          <w:p w14:paraId="00CEAE01">
            <w:pPr>
              <w:spacing w:line="360" w:lineRule="auto"/>
              <w:jc w:val="center"/>
              <w:rPr>
                <w:highlight w:val="none"/>
              </w:rPr>
            </w:pPr>
            <w:r>
              <w:rPr>
                <w:highlight w:val="none"/>
              </w:rPr>
              <w:t>设备厂家</w:t>
            </w:r>
          </w:p>
        </w:tc>
        <w:tc>
          <w:tcPr>
            <w:tcW w:w="3066" w:type="dxa"/>
            <w:gridSpan w:val="2"/>
          </w:tcPr>
          <w:p w14:paraId="13F6050D">
            <w:pPr>
              <w:spacing w:line="360" w:lineRule="auto"/>
              <w:jc w:val="center"/>
              <w:rPr>
                <w:highlight w:val="none"/>
              </w:rPr>
            </w:pPr>
          </w:p>
        </w:tc>
      </w:tr>
      <w:tr w14:paraId="19D77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869" w:type="dxa"/>
            <w:gridSpan w:val="2"/>
          </w:tcPr>
          <w:p w14:paraId="288632EE">
            <w:pPr>
              <w:spacing w:line="360" w:lineRule="auto"/>
              <w:jc w:val="center"/>
              <w:rPr>
                <w:highlight w:val="none"/>
              </w:rPr>
            </w:pPr>
            <w:r>
              <w:rPr>
                <w:highlight w:val="none"/>
              </w:rPr>
              <w:t>设备型号</w:t>
            </w:r>
          </w:p>
        </w:tc>
        <w:tc>
          <w:tcPr>
            <w:tcW w:w="2535" w:type="dxa"/>
            <w:gridSpan w:val="2"/>
          </w:tcPr>
          <w:p w14:paraId="3F5CA1CA">
            <w:pPr>
              <w:spacing w:line="360" w:lineRule="auto"/>
              <w:jc w:val="center"/>
              <w:rPr>
                <w:highlight w:val="none"/>
              </w:rPr>
            </w:pPr>
          </w:p>
        </w:tc>
        <w:tc>
          <w:tcPr>
            <w:tcW w:w="1537" w:type="dxa"/>
            <w:gridSpan w:val="2"/>
          </w:tcPr>
          <w:p w14:paraId="5FB7873E">
            <w:pPr>
              <w:spacing w:line="360" w:lineRule="auto"/>
              <w:jc w:val="center"/>
              <w:rPr>
                <w:highlight w:val="none"/>
              </w:rPr>
            </w:pPr>
            <w:r>
              <w:rPr>
                <w:highlight w:val="none"/>
              </w:rPr>
              <w:t>设备编号</w:t>
            </w:r>
          </w:p>
        </w:tc>
        <w:tc>
          <w:tcPr>
            <w:tcW w:w="3066" w:type="dxa"/>
            <w:gridSpan w:val="2"/>
          </w:tcPr>
          <w:p w14:paraId="1ECC2C98">
            <w:pPr>
              <w:spacing w:line="360" w:lineRule="auto"/>
              <w:jc w:val="center"/>
              <w:rPr>
                <w:highlight w:val="none"/>
              </w:rPr>
            </w:pPr>
          </w:p>
        </w:tc>
      </w:tr>
      <w:tr w14:paraId="6FD6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869" w:type="dxa"/>
            <w:gridSpan w:val="2"/>
          </w:tcPr>
          <w:p w14:paraId="7A5317F0">
            <w:pPr>
              <w:spacing w:line="360" w:lineRule="auto"/>
              <w:jc w:val="center"/>
              <w:rPr>
                <w:highlight w:val="none"/>
              </w:rPr>
            </w:pPr>
            <w:r>
              <w:rPr>
                <w:highlight w:val="none"/>
              </w:rPr>
              <w:t>夹具名称</w:t>
            </w:r>
          </w:p>
        </w:tc>
        <w:tc>
          <w:tcPr>
            <w:tcW w:w="2535" w:type="dxa"/>
            <w:gridSpan w:val="2"/>
          </w:tcPr>
          <w:p w14:paraId="60CA38EA">
            <w:pPr>
              <w:spacing w:line="360" w:lineRule="auto"/>
              <w:jc w:val="center"/>
              <w:rPr>
                <w:highlight w:val="none"/>
              </w:rPr>
            </w:pPr>
          </w:p>
        </w:tc>
        <w:tc>
          <w:tcPr>
            <w:tcW w:w="1537" w:type="dxa"/>
            <w:gridSpan w:val="2"/>
          </w:tcPr>
          <w:p w14:paraId="48F6440C">
            <w:pPr>
              <w:spacing w:line="360" w:lineRule="auto"/>
              <w:jc w:val="center"/>
              <w:rPr>
                <w:highlight w:val="none"/>
              </w:rPr>
            </w:pPr>
            <w:r>
              <w:rPr>
                <w:highlight w:val="none"/>
              </w:rPr>
              <w:t>夹具型号</w:t>
            </w:r>
          </w:p>
        </w:tc>
        <w:tc>
          <w:tcPr>
            <w:tcW w:w="3066" w:type="dxa"/>
            <w:gridSpan w:val="2"/>
          </w:tcPr>
          <w:p w14:paraId="2A9D4E70">
            <w:pPr>
              <w:spacing w:line="360" w:lineRule="auto"/>
              <w:jc w:val="center"/>
              <w:rPr>
                <w:highlight w:val="none"/>
              </w:rPr>
            </w:pPr>
          </w:p>
        </w:tc>
      </w:tr>
      <w:tr w14:paraId="333F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869" w:type="dxa"/>
            <w:gridSpan w:val="2"/>
          </w:tcPr>
          <w:p w14:paraId="20D61516">
            <w:pPr>
              <w:spacing w:line="360" w:lineRule="auto"/>
              <w:jc w:val="center"/>
              <w:rPr>
                <w:highlight w:val="none"/>
              </w:rPr>
            </w:pPr>
            <w:r>
              <w:rPr>
                <w:highlight w:val="none"/>
              </w:rPr>
              <w:t>方法依据</w:t>
            </w:r>
          </w:p>
        </w:tc>
        <w:tc>
          <w:tcPr>
            <w:tcW w:w="2535" w:type="dxa"/>
            <w:gridSpan w:val="2"/>
          </w:tcPr>
          <w:p w14:paraId="4FF3A6C3">
            <w:pPr>
              <w:spacing w:line="360" w:lineRule="auto"/>
              <w:jc w:val="center"/>
              <w:rPr>
                <w:highlight w:val="none"/>
              </w:rPr>
            </w:pPr>
          </w:p>
        </w:tc>
        <w:tc>
          <w:tcPr>
            <w:tcW w:w="1537" w:type="dxa"/>
            <w:gridSpan w:val="2"/>
          </w:tcPr>
          <w:p w14:paraId="51516267">
            <w:pPr>
              <w:spacing w:line="360" w:lineRule="auto"/>
              <w:jc w:val="center"/>
              <w:rPr>
                <w:highlight w:val="none"/>
              </w:rPr>
            </w:pPr>
            <w:r>
              <w:rPr>
                <w:highlight w:val="none"/>
              </w:rPr>
              <w:t>环境条件</w:t>
            </w:r>
          </w:p>
        </w:tc>
        <w:tc>
          <w:tcPr>
            <w:tcW w:w="3066" w:type="dxa"/>
            <w:gridSpan w:val="2"/>
          </w:tcPr>
          <w:p w14:paraId="3A38E1E9">
            <w:pPr>
              <w:spacing w:line="360" w:lineRule="auto"/>
              <w:ind w:right="84" w:rightChars="40"/>
              <w:rPr>
                <w:highlight w:val="none"/>
              </w:rPr>
            </w:pPr>
            <w:r>
              <w:rPr>
                <w:highlight w:val="none"/>
              </w:rPr>
              <w:t>温度：         湿度：</w:t>
            </w:r>
          </w:p>
        </w:tc>
      </w:tr>
      <w:tr w14:paraId="4E26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008" w:type="dxa"/>
            <w:gridSpan w:val="8"/>
            <w:vAlign w:val="center"/>
          </w:tcPr>
          <w:p w14:paraId="16DD983E">
            <w:pPr>
              <w:spacing w:line="360" w:lineRule="auto"/>
              <w:ind w:right="510" w:rightChars="243"/>
              <w:rPr>
                <w:rFonts w:hint="eastAsia"/>
                <w:highlight w:val="none"/>
                <w:u w:val="single"/>
              </w:rPr>
            </w:pPr>
            <w:r>
              <w:rPr>
                <w:rFonts w:hint="eastAsia"/>
                <w:highlight w:val="none"/>
              </w:rPr>
              <w:t>测量标准</w:t>
            </w:r>
            <w:r>
              <w:rPr>
                <w:highlight w:val="none"/>
              </w:rPr>
              <w:t>名称：</w:t>
            </w:r>
            <w:r>
              <w:rPr>
                <w:highlight w:val="none"/>
                <w:u w:val="single"/>
              </w:rPr>
              <w:t xml:space="preserve">        </w:t>
            </w:r>
            <w:r>
              <w:rPr>
                <w:highlight w:val="none"/>
              </w:rPr>
              <w:t xml:space="preserve">； </w:t>
            </w:r>
            <w:r>
              <w:rPr>
                <w:rFonts w:hint="eastAsia"/>
                <w:highlight w:val="none"/>
              </w:rPr>
              <w:t>型号：</w:t>
            </w:r>
            <w:r>
              <w:rPr>
                <w:highlight w:val="none"/>
                <w:u w:val="single"/>
              </w:rPr>
              <w:t xml:space="preserve">         </w:t>
            </w:r>
            <w:r>
              <w:rPr>
                <w:highlight w:val="none"/>
              </w:rPr>
              <w:t>；</w:t>
            </w:r>
            <w:r>
              <w:rPr>
                <w:rFonts w:hint="eastAsia"/>
                <w:highlight w:val="none"/>
              </w:rPr>
              <w:t>编号</w:t>
            </w:r>
            <w:r>
              <w:rPr>
                <w:highlight w:val="none"/>
              </w:rPr>
              <w:t>：</w:t>
            </w:r>
            <w:r>
              <w:rPr>
                <w:highlight w:val="none"/>
                <w:u w:val="single"/>
              </w:rPr>
              <w:t xml:space="preserve">         </w:t>
            </w:r>
            <w:r>
              <w:rPr>
                <w:highlight w:val="none"/>
              </w:rPr>
              <w:t>；</w:t>
            </w:r>
            <w:r>
              <w:rPr>
                <w:rFonts w:hint="eastAsia"/>
                <w:highlight w:val="none"/>
              </w:rPr>
              <w:t>校准证书编号</w:t>
            </w:r>
            <w:r>
              <w:rPr>
                <w:highlight w:val="none"/>
                <w:u w:val="single"/>
              </w:rPr>
              <w:t xml:space="preserve">           </w:t>
            </w:r>
          </w:p>
        </w:tc>
      </w:tr>
      <w:tr w14:paraId="1AA20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1869" w:type="dxa"/>
            <w:gridSpan w:val="2"/>
          </w:tcPr>
          <w:p w14:paraId="2C961CCB">
            <w:pPr>
              <w:spacing w:line="360" w:lineRule="auto"/>
              <w:rPr>
                <w:highlight w:val="none"/>
              </w:rPr>
            </w:pPr>
            <w:r>
              <w:rPr>
                <w:rFonts w:hint="eastAsia"/>
                <w:highlight w:val="none"/>
              </w:rPr>
              <w:t>一</w:t>
            </w:r>
            <w:r>
              <w:rPr>
                <w:highlight w:val="none"/>
              </w:rPr>
              <w:t xml:space="preserve">. </w:t>
            </w:r>
            <w:r>
              <w:rPr>
                <w:rFonts w:hint="eastAsia"/>
                <w:highlight w:val="none"/>
              </w:rPr>
              <w:t>外观检测</w:t>
            </w:r>
          </w:p>
        </w:tc>
        <w:tc>
          <w:tcPr>
            <w:tcW w:w="7139" w:type="dxa"/>
            <w:gridSpan w:val="6"/>
          </w:tcPr>
          <w:p w14:paraId="15DB56EA">
            <w:pPr>
              <w:spacing w:line="360" w:lineRule="auto"/>
              <w:ind w:right="510" w:rightChars="243"/>
              <w:jc w:val="center"/>
              <w:rPr>
                <w:highlight w:val="none"/>
              </w:rPr>
            </w:pPr>
          </w:p>
        </w:tc>
      </w:tr>
      <w:tr w14:paraId="1943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869" w:type="dxa"/>
            <w:gridSpan w:val="2"/>
          </w:tcPr>
          <w:p w14:paraId="54FB3892">
            <w:pPr>
              <w:spacing w:line="360" w:lineRule="auto"/>
              <w:ind w:right="40" w:rightChars="19"/>
              <w:rPr>
                <w:highlight w:val="none"/>
              </w:rPr>
            </w:pPr>
            <w:r>
              <w:rPr>
                <w:rFonts w:hint="eastAsia"/>
                <w:highlight w:val="none"/>
              </w:rPr>
              <w:t>二</w:t>
            </w:r>
            <w:r>
              <w:rPr>
                <w:highlight w:val="none"/>
              </w:rPr>
              <w:t xml:space="preserve">. </w:t>
            </w:r>
            <w:r>
              <w:rPr>
                <w:rFonts w:hint="eastAsia"/>
                <w:highlight w:val="none"/>
              </w:rPr>
              <w:t>工作正常性</w:t>
            </w:r>
          </w:p>
        </w:tc>
        <w:tc>
          <w:tcPr>
            <w:tcW w:w="7139" w:type="dxa"/>
            <w:gridSpan w:val="6"/>
          </w:tcPr>
          <w:p w14:paraId="44B61B58">
            <w:pPr>
              <w:spacing w:line="360" w:lineRule="auto"/>
              <w:ind w:right="510" w:rightChars="243"/>
              <w:jc w:val="center"/>
              <w:rPr>
                <w:highlight w:val="none"/>
              </w:rPr>
            </w:pPr>
          </w:p>
        </w:tc>
      </w:tr>
      <w:tr w14:paraId="7C9D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9008" w:type="dxa"/>
            <w:gridSpan w:val="8"/>
          </w:tcPr>
          <w:p w14:paraId="5CAD3A2D">
            <w:pPr>
              <w:spacing w:line="360" w:lineRule="auto"/>
              <w:ind w:right="510" w:rightChars="243"/>
              <w:jc w:val="left"/>
              <w:rPr>
                <w:highlight w:val="none"/>
              </w:rPr>
            </w:pPr>
            <w:r>
              <w:rPr>
                <w:rFonts w:hint="eastAsia"/>
                <w:highlight w:val="none"/>
              </w:rPr>
              <w:t>三</w:t>
            </w:r>
            <w:r>
              <w:rPr>
                <w:highlight w:val="none"/>
              </w:rPr>
              <w:t xml:space="preserve">. </w:t>
            </w:r>
            <w:r>
              <w:rPr>
                <w:rFonts w:hint="eastAsia"/>
                <w:highlight w:val="none"/>
              </w:rPr>
              <w:t>相对介电常数实部</w:t>
            </w:r>
            <w:r>
              <w:rPr>
                <w:highlight w:val="none"/>
              </w:rPr>
              <w:t>：</w:t>
            </w:r>
          </w:p>
        </w:tc>
      </w:tr>
      <w:tr w14:paraId="28D7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1215" w:type="dxa"/>
          </w:tcPr>
          <w:p w14:paraId="4C315016">
            <w:pPr>
              <w:jc w:val="center"/>
              <w:rPr>
                <w:highlight w:val="none"/>
              </w:rPr>
            </w:pPr>
            <w:r>
              <w:rPr>
                <w:rFonts w:hint="eastAsia"/>
                <w:highlight w:val="none"/>
              </w:rPr>
              <w:t>标样</w:t>
            </w:r>
            <w:r>
              <w:rPr>
                <w:highlight w:val="none"/>
              </w:rPr>
              <w:t>编号</w:t>
            </w:r>
          </w:p>
        </w:tc>
        <w:tc>
          <w:tcPr>
            <w:tcW w:w="1251" w:type="dxa"/>
            <w:gridSpan w:val="2"/>
          </w:tcPr>
          <w:p w14:paraId="3FFF81AC">
            <w:pPr>
              <w:tabs>
                <w:tab w:val="left" w:pos="151"/>
              </w:tabs>
              <w:jc w:val="center"/>
              <w:rPr>
                <w:highlight w:val="none"/>
              </w:rPr>
            </w:pPr>
            <w:r>
              <w:rPr>
                <w:rFonts w:hint="eastAsia"/>
                <w:highlight w:val="none"/>
              </w:rPr>
              <w:t>频率</w:t>
            </w:r>
          </w:p>
        </w:tc>
        <w:tc>
          <w:tcPr>
            <w:tcW w:w="1982" w:type="dxa"/>
            <w:gridSpan w:val="2"/>
          </w:tcPr>
          <w:p w14:paraId="544355B8">
            <w:pPr>
              <w:jc w:val="center"/>
              <w:rPr>
                <w:rFonts w:hint="eastAsia"/>
                <w:highlight w:val="none"/>
              </w:rPr>
            </w:pPr>
            <w:r>
              <w:rPr>
                <w:rFonts w:hint="eastAsia"/>
                <w:highlight w:val="none"/>
              </w:rPr>
              <w:t>标准值</w:t>
            </w:r>
          </w:p>
        </w:tc>
        <w:tc>
          <w:tcPr>
            <w:tcW w:w="2088" w:type="dxa"/>
            <w:gridSpan w:val="2"/>
          </w:tcPr>
          <w:p w14:paraId="13843541">
            <w:pPr>
              <w:jc w:val="center"/>
              <w:rPr>
                <w:highlight w:val="none"/>
              </w:rPr>
            </w:pPr>
            <w:r>
              <w:rPr>
                <w:rFonts w:hint="eastAsia"/>
                <w:highlight w:val="none"/>
              </w:rPr>
              <w:t>实测值</w:t>
            </w:r>
          </w:p>
        </w:tc>
        <w:tc>
          <w:tcPr>
            <w:tcW w:w="2471" w:type="dxa"/>
          </w:tcPr>
          <w:p w14:paraId="5ACDEBB0">
            <w:pPr>
              <w:jc w:val="center"/>
              <w:rPr>
                <w:highlight w:val="none"/>
              </w:rPr>
            </w:pPr>
            <w:r>
              <w:rPr>
                <w:rFonts w:hint="eastAsia"/>
                <w:highlight w:val="none"/>
              </w:rPr>
              <w:t>测量不确定度U</w:t>
            </w:r>
          </w:p>
        </w:tc>
      </w:tr>
      <w:tr w14:paraId="341FB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215" w:type="dxa"/>
            <w:vAlign w:val="center"/>
          </w:tcPr>
          <w:p w14:paraId="763A2BDA">
            <w:pPr>
              <w:jc w:val="center"/>
              <w:rPr>
                <w:color w:val="000000"/>
                <w:sz w:val="22"/>
                <w:szCs w:val="22"/>
                <w:highlight w:val="none"/>
              </w:rPr>
            </w:pPr>
            <w:r>
              <w:rPr>
                <w:color w:val="000000"/>
                <w:sz w:val="22"/>
                <w:szCs w:val="22"/>
                <w:highlight w:val="none"/>
              </w:rPr>
              <w:t>1</w:t>
            </w:r>
          </w:p>
        </w:tc>
        <w:tc>
          <w:tcPr>
            <w:tcW w:w="1251" w:type="dxa"/>
            <w:gridSpan w:val="2"/>
          </w:tcPr>
          <w:p w14:paraId="30B14B73">
            <w:pPr>
              <w:spacing w:line="360" w:lineRule="auto"/>
              <w:ind w:leftChars="-50" w:right="-126" w:rightChars="-60" w:hanging="105" w:hangingChars="50"/>
              <w:jc w:val="center"/>
              <w:rPr>
                <w:highlight w:val="none"/>
              </w:rPr>
            </w:pPr>
          </w:p>
        </w:tc>
        <w:tc>
          <w:tcPr>
            <w:tcW w:w="1982" w:type="dxa"/>
            <w:gridSpan w:val="2"/>
          </w:tcPr>
          <w:p w14:paraId="7CEBEF4C">
            <w:pPr>
              <w:spacing w:line="360" w:lineRule="auto"/>
              <w:ind w:right="-103" w:rightChars="-49"/>
              <w:jc w:val="center"/>
              <w:rPr>
                <w:highlight w:val="none"/>
              </w:rPr>
            </w:pPr>
          </w:p>
        </w:tc>
        <w:tc>
          <w:tcPr>
            <w:tcW w:w="2088" w:type="dxa"/>
            <w:gridSpan w:val="2"/>
          </w:tcPr>
          <w:p w14:paraId="25D92D6B">
            <w:pPr>
              <w:spacing w:line="360" w:lineRule="auto"/>
              <w:ind w:right="-103" w:rightChars="-49"/>
              <w:jc w:val="center"/>
              <w:rPr>
                <w:highlight w:val="none"/>
              </w:rPr>
            </w:pPr>
          </w:p>
        </w:tc>
        <w:tc>
          <w:tcPr>
            <w:tcW w:w="2471" w:type="dxa"/>
          </w:tcPr>
          <w:p w14:paraId="5A63722B">
            <w:pPr>
              <w:spacing w:line="360" w:lineRule="auto"/>
              <w:ind w:right="-103" w:rightChars="-49"/>
              <w:jc w:val="center"/>
              <w:rPr>
                <w:highlight w:val="none"/>
              </w:rPr>
            </w:pPr>
          </w:p>
        </w:tc>
      </w:tr>
      <w:tr w14:paraId="23E04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215" w:type="dxa"/>
            <w:vAlign w:val="center"/>
          </w:tcPr>
          <w:p w14:paraId="40FCB078">
            <w:pPr>
              <w:jc w:val="center"/>
              <w:rPr>
                <w:color w:val="000000"/>
                <w:sz w:val="22"/>
                <w:szCs w:val="22"/>
                <w:highlight w:val="none"/>
              </w:rPr>
            </w:pPr>
            <w:r>
              <w:rPr>
                <w:color w:val="000000"/>
                <w:sz w:val="22"/>
                <w:szCs w:val="22"/>
                <w:highlight w:val="none"/>
              </w:rPr>
              <w:t>2</w:t>
            </w:r>
          </w:p>
        </w:tc>
        <w:tc>
          <w:tcPr>
            <w:tcW w:w="1251" w:type="dxa"/>
            <w:gridSpan w:val="2"/>
          </w:tcPr>
          <w:p w14:paraId="390ABE17">
            <w:pPr>
              <w:spacing w:line="360" w:lineRule="auto"/>
              <w:ind w:leftChars="-50" w:right="-126" w:rightChars="-60" w:hanging="105" w:hangingChars="50"/>
              <w:jc w:val="center"/>
              <w:rPr>
                <w:highlight w:val="none"/>
              </w:rPr>
            </w:pPr>
          </w:p>
        </w:tc>
        <w:tc>
          <w:tcPr>
            <w:tcW w:w="1982" w:type="dxa"/>
            <w:gridSpan w:val="2"/>
          </w:tcPr>
          <w:p w14:paraId="54E8FABE">
            <w:pPr>
              <w:spacing w:line="360" w:lineRule="auto"/>
              <w:ind w:right="-103" w:rightChars="-49"/>
              <w:jc w:val="center"/>
              <w:rPr>
                <w:highlight w:val="none"/>
              </w:rPr>
            </w:pPr>
          </w:p>
        </w:tc>
        <w:tc>
          <w:tcPr>
            <w:tcW w:w="2088" w:type="dxa"/>
            <w:gridSpan w:val="2"/>
          </w:tcPr>
          <w:p w14:paraId="4B5F9507">
            <w:pPr>
              <w:spacing w:line="360" w:lineRule="auto"/>
              <w:ind w:right="-103" w:rightChars="-49"/>
              <w:jc w:val="center"/>
              <w:rPr>
                <w:highlight w:val="none"/>
              </w:rPr>
            </w:pPr>
          </w:p>
        </w:tc>
        <w:tc>
          <w:tcPr>
            <w:tcW w:w="2471" w:type="dxa"/>
          </w:tcPr>
          <w:p w14:paraId="6A504126">
            <w:pPr>
              <w:spacing w:line="360" w:lineRule="auto"/>
              <w:ind w:right="-103" w:rightChars="-49"/>
              <w:jc w:val="center"/>
              <w:rPr>
                <w:highlight w:val="none"/>
              </w:rPr>
            </w:pPr>
          </w:p>
        </w:tc>
      </w:tr>
      <w:tr w14:paraId="4FBE9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215" w:type="dxa"/>
            <w:vAlign w:val="center"/>
          </w:tcPr>
          <w:p w14:paraId="6DD3E1F3">
            <w:pPr>
              <w:jc w:val="center"/>
              <w:rPr>
                <w:color w:val="000000"/>
                <w:sz w:val="22"/>
                <w:szCs w:val="22"/>
                <w:highlight w:val="none"/>
              </w:rPr>
            </w:pPr>
            <w:r>
              <w:rPr>
                <w:color w:val="000000"/>
                <w:sz w:val="22"/>
                <w:szCs w:val="22"/>
                <w:highlight w:val="none"/>
              </w:rPr>
              <w:t>3</w:t>
            </w:r>
          </w:p>
        </w:tc>
        <w:tc>
          <w:tcPr>
            <w:tcW w:w="1251" w:type="dxa"/>
            <w:gridSpan w:val="2"/>
          </w:tcPr>
          <w:p w14:paraId="74901D70">
            <w:pPr>
              <w:spacing w:line="360" w:lineRule="auto"/>
              <w:ind w:leftChars="-50" w:right="-126" w:rightChars="-60" w:hanging="105" w:hangingChars="50"/>
              <w:jc w:val="center"/>
              <w:rPr>
                <w:highlight w:val="none"/>
              </w:rPr>
            </w:pPr>
          </w:p>
        </w:tc>
        <w:tc>
          <w:tcPr>
            <w:tcW w:w="1982" w:type="dxa"/>
            <w:gridSpan w:val="2"/>
          </w:tcPr>
          <w:p w14:paraId="6B15CE0B">
            <w:pPr>
              <w:spacing w:line="360" w:lineRule="auto"/>
              <w:ind w:right="-103" w:rightChars="-49"/>
              <w:jc w:val="center"/>
              <w:rPr>
                <w:highlight w:val="none"/>
              </w:rPr>
            </w:pPr>
          </w:p>
        </w:tc>
        <w:tc>
          <w:tcPr>
            <w:tcW w:w="2088" w:type="dxa"/>
            <w:gridSpan w:val="2"/>
          </w:tcPr>
          <w:p w14:paraId="782905C3">
            <w:pPr>
              <w:spacing w:line="360" w:lineRule="auto"/>
              <w:ind w:right="-103" w:rightChars="-49"/>
              <w:jc w:val="center"/>
              <w:rPr>
                <w:highlight w:val="none"/>
              </w:rPr>
            </w:pPr>
          </w:p>
        </w:tc>
        <w:tc>
          <w:tcPr>
            <w:tcW w:w="2471" w:type="dxa"/>
          </w:tcPr>
          <w:p w14:paraId="170C58FD">
            <w:pPr>
              <w:spacing w:line="360" w:lineRule="auto"/>
              <w:ind w:right="-103" w:rightChars="-49"/>
              <w:jc w:val="center"/>
              <w:rPr>
                <w:highlight w:val="none"/>
              </w:rPr>
            </w:pPr>
          </w:p>
        </w:tc>
      </w:tr>
      <w:tr w14:paraId="01FF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215" w:type="dxa"/>
            <w:vAlign w:val="center"/>
          </w:tcPr>
          <w:p w14:paraId="5ED758BA">
            <w:pPr>
              <w:jc w:val="center"/>
              <w:rPr>
                <w:color w:val="000000"/>
                <w:sz w:val="22"/>
                <w:szCs w:val="22"/>
                <w:highlight w:val="none"/>
              </w:rPr>
            </w:pPr>
            <w:r>
              <w:rPr>
                <w:color w:val="000000"/>
                <w:sz w:val="22"/>
                <w:szCs w:val="22"/>
                <w:highlight w:val="none"/>
              </w:rPr>
              <w:t>4</w:t>
            </w:r>
          </w:p>
        </w:tc>
        <w:tc>
          <w:tcPr>
            <w:tcW w:w="1251" w:type="dxa"/>
            <w:gridSpan w:val="2"/>
          </w:tcPr>
          <w:p w14:paraId="0673CF29">
            <w:pPr>
              <w:spacing w:line="360" w:lineRule="auto"/>
              <w:ind w:leftChars="-50" w:right="-126" w:rightChars="-60" w:hanging="105" w:hangingChars="50"/>
              <w:jc w:val="center"/>
              <w:rPr>
                <w:highlight w:val="none"/>
              </w:rPr>
            </w:pPr>
          </w:p>
        </w:tc>
        <w:tc>
          <w:tcPr>
            <w:tcW w:w="1982" w:type="dxa"/>
            <w:gridSpan w:val="2"/>
          </w:tcPr>
          <w:p w14:paraId="3E2E93E9">
            <w:pPr>
              <w:spacing w:line="360" w:lineRule="auto"/>
              <w:ind w:right="-103" w:rightChars="-49"/>
              <w:jc w:val="center"/>
              <w:rPr>
                <w:highlight w:val="none"/>
              </w:rPr>
            </w:pPr>
          </w:p>
        </w:tc>
        <w:tc>
          <w:tcPr>
            <w:tcW w:w="2088" w:type="dxa"/>
            <w:gridSpan w:val="2"/>
          </w:tcPr>
          <w:p w14:paraId="723761E9">
            <w:pPr>
              <w:spacing w:line="360" w:lineRule="auto"/>
              <w:ind w:right="-103" w:rightChars="-49"/>
              <w:jc w:val="center"/>
              <w:rPr>
                <w:highlight w:val="none"/>
              </w:rPr>
            </w:pPr>
          </w:p>
        </w:tc>
        <w:tc>
          <w:tcPr>
            <w:tcW w:w="2471" w:type="dxa"/>
          </w:tcPr>
          <w:p w14:paraId="03FFA8E6">
            <w:pPr>
              <w:spacing w:line="360" w:lineRule="auto"/>
              <w:ind w:right="-103" w:rightChars="-49"/>
              <w:jc w:val="center"/>
              <w:rPr>
                <w:highlight w:val="none"/>
              </w:rPr>
            </w:pPr>
          </w:p>
        </w:tc>
      </w:tr>
      <w:tr w14:paraId="0FD75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9008" w:type="dxa"/>
            <w:gridSpan w:val="8"/>
            <w:vAlign w:val="center"/>
          </w:tcPr>
          <w:p w14:paraId="12B6F4BB">
            <w:pPr>
              <w:spacing w:line="360" w:lineRule="auto"/>
              <w:ind w:right="-103" w:rightChars="-49"/>
              <w:jc w:val="left"/>
              <w:rPr>
                <w:highlight w:val="none"/>
              </w:rPr>
            </w:pPr>
            <w:r>
              <w:rPr>
                <w:rFonts w:hint="eastAsia"/>
                <w:color w:val="000000"/>
                <w:sz w:val="22"/>
                <w:szCs w:val="22"/>
                <w:highlight w:val="none"/>
              </w:rPr>
              <w:t>四</w:t>
            </w:r>
            <w:r>
              <w:rPr>
                <w:color w:val="000000"/>
                <w:sz w:val="22"/>
                <w:szCs w:val="22"/>
                <w:highlight w:val="none"/>
              </w:rPr>
              <w:t xml:space="preserve">. </w:t>
            </w:r>
            <w:r>
              <w:rPr>
                <w:rFonts w:hint="eastAsia"/>
                <w:color w:val="000000"/>
                <w:sz w:val="22"/>
                <w:szCs w:val="22"/>
                <w:highlight w:val="none"/>
              </w:rPr>
              <w:t>损耗角正切</w:t>
            </w:r>
          </w:p>
        </w:tc>
      </w:tr>
      <w:tr w14:paraId="0DC4C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215" w:type="dxa"/>
            <w:vAlign w:val="center"/>
          </w:tcPr>
          <w:p w14:paraId="53751ED5">
            <w:pPr>
              <w:jc w:val="center"/>
              <w:rPr>
                <w:color w:val="000000"/>
                <w:sz w:val="22"/>
                <w:szCs w:val="22"/>
                <w:highlight w:val="none"/>
              </w:rPr>
            </w:pPr>
            <w:r>
              <w:rPr>
                <w:rFonts w:hint="eastAsia"/>
                <w:highlight w:val="none"/>
              </w:rPr>
              <w:t>标样</w:t>
            </w:r>
            <w:r>
              <w:rPr>
                <w:highlight w:val="none"/>
              </w:rPr>
              <w:t>编号</w:t>
            </w:r>
          </w:p>
        </w:tc>
        <w:tc>
          <w:tcPr>
            <w:tcW w:w="1251" w:type="dxa"/>
            <w:gridSpan w:val="2"/>
            <w:vAlign w:val="center"/>
          </w:tcPr>
          <w:p w14:paraId="4F2CC418">
            <w:pPr>
              <w:spacing w:line="360" w:lineRule="auto"/>
              <w:ind w:leftChars="-50" w:right="-126" w:rightChars="-60" w:hanging="105" w:hangingChars="50"/>
              <w:jc w:val="center"/>
              <w:rPr>
                <w:highlight w:val="none"/>
              </w:rPr>
            </w:pPr>
            <w:r>
              <w:rPr>
                <w:rFonts w:hint="eastAsia"/>
                <w:highlight w:val="none"/>
              </w:rPr>
              <w:t>频率</w:t>
            </w:r>
          </w:p>
        </w:tc>
        <w:tc>
          <w:tcPr>
            <w:tcW w:w="1982" w:type="dxa"/>
            <w:gridSpan w:val="2"/>
            <w:vAlign w:val="center"/>
          </w:tcPr>
          <w:p w14:paraId="5468A78B">
            <w:pPr>
              <w:spacing w:line="360" w:lineRule="auto"/>
              <w:ind w:right="-103" w:rightChars="-49"/>
              <w:jc w:val="center"/>
              <w:rPr>
                <w:rFonts w:hint="eastAsia"/>
                <w:highlight w:val="none"/>
              </w:rPr>
            </w:pPr>
            <w:r>
              <w:rPr>
                <w:rFonts w:hint="eastAsia"/>
                <w:highlight w:val="none"/>
              </w:rPr>
              <w:t>标准值</w:t>
            </w:r>
          </w:p>
        </w:tc>
        <w:tc>
          <w:tcPr>
            <w:tcW w:w="2088" w:type="dxa"/>
            <w:gridSpan w:val="2"/>
            <w:vAlign w:val="center"/>
          </w:tcPr>
          <w:p w14:paraId="1846EDED">
            <w:pPr>
              <w:spacing w:line="360" w:lineRule="auto"/>
              <w:ind w:right="-103" w:rightChars="-49"/>
              <w:jc w:val="center"/>
              <w:rPr>
                <w:highlight w:val="none"/>
              </w:rPr>
            </w:pPr>
            <w:r>
              <w:rPr>
                <w:rFonts w:hint="eastAsia"/>
                <w:highlight w:val="none"/>
              </w:rPr>
              <w:t>实测值</w:t>
            </w:r>
          </w:p>
        </w:tc>
        <w:tc>
          <w:tcPr>
            <w:tcW w:w="2471" w:type="dxa"/>
            <w:vAlign w:val="center"/>
          </w:tcPr>
          <w:p w14:paraId="654E73FE">
            <w:pPr>
              <w:spacing w:line="360" w:lineRule="auto"/>
              <w:ind w:right="-103" w:rightChars="-49"/>
              <w:jc w:val="center"/>
              <w:rPr>
                <w:highlight w:val="none"/>
              </w:rPr>
            </w:pPr>
            <w:r>
              <w:rPr>
                <w:rFonts w:hint="eastAsia"/>
                <w:highlight w:val="none"/>
              </w:rPr>
              <w:t>测量不确定度U</w:t>
            </w:r>
          </w:p>
        </w:tc>
      </w:tr>
      <w:tr w14:paraId="35A4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215" w:type="dxa"/>
            <w:vAlign w:val="center"/>
          </w:tcPr>
          <w:p w14:paraId="4B74D1E2">
            <w:pPr>
              <w:jc w:val="center"/>
              <w:rPr>
                <w:rFonts w:hint="eastAsia"/>
                <w:color w:val="000000"/>
                <w:sz w:val="22"/>
                <w:szCs w:val="22"/>
                <w:highlight w:val="none"/>
              </w:rPr>
            </w:pPr>
            <w:r>
              <w:rPr>
                <w:rFonts w:hint="eastAsia"/>
                <w:color w:val="000000"/>
                <w:sz w:val="22"/>
                <w:szCs w:val="22"/>
                <w:highlight w:val="none"/>
              </w:rPr>
              <w:t>1</w:t>
            </w:r>
          </w:p>
        </w:tc>
        <w:tc>
          <w:tcPr>
            <w:tcW w:w="1251" w:type="dxa"/>
            <w:gridSpan w:val="2"/>
            <w:vAlign w:val="center"/>
          </w:tcPr>
          <w:p w14:paraId="5BA49774">
            <w:pPr>
              <w:spacing w:line="360" w:lineRule="auto"/>
              <w:ind w:leftChars="-50" w:right="-126" w:rightChars="-60" w:hanging="105" w:hangingChars="50"/>
              <w:jc w:val="center"/>
              <w:rPr>
                <w:rFonts w:hint="eastAsia"/>
                <w:highlight w:val="none"/>
              </w:rPr>
            </w:pPr>
          </w:p>
        </w:tc>
        <w:tc>
          <w:tcPr>
            <w:tcW w:w="1982" w:type="dxa"/>
            <w:gridSpan w:val="2"/>
            <w:vAlign w:val="center"/>
          </w:tcPr>
          <w:p w14:paraId="54531A80">
            <w:pPr>
              <w:spacing w:line="360" w:lineRule="auto"/>
              <w:ind w:right="-103" w:rightChars="-49"/>
              <w:jc w:val="center"/>
              <w:rPr>
                <w:rFonts w:hint="eastAsia"/>
                <w:highlight w:val="none"/>
              </w:rPr>
            </w:pPr>
          </w:p>
        </w:tc>
        <w:tc>
          <w:tcPr>
            <w:tcW w:w="2088" w:type="dxa"/>
            <w:gridSpan w:val="2"/>
            <w:vAlign w:val="center"/>
          </w:tcPr>
          <w:p w14:paraId="132C86C8">
            <w:pPr>
              <w:spacing w:line="360" w:lineRule="auto"/>
              <w:ind w:right="-103" w:rightChars="-49"/>
              <w:jc w:val="center"/>
              <w:rPr>
                <w:rFonts w:hint="eastAsia"/>
                <w:highlight w:val="none"/>
              </w:rPr>
            </w:pPr>
          </w:p>
        </w:tc>
        <w:tc>
          <w:tcPr>
            <w:tcW w:w="2471" w:type="dxa"/>
            <w:vAlign w:val="center"/>
          </w:tcPr>
          <w:p w14:paraId="2E3B57D0">
            <w:pPr>
              <w:spacing w:line="360" w:lineRule="auto"/>
              <w:ind w:right="-103" w:rightChars="-49"/>
              <w:jc w:val="center"/>
              <w:rPr>
                <w:rFonts w:hint="eastAsia"/>
                <w:highlight w:val="none"/>
              </w:rPr>
            </w:pPr>
          </w:p>
        </w:tc>
      </w:tr>
      <w:tr w14:paraId="78A80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215" w:type="dxa"/>
            <w:vAlign w:val="center"/>
          </w:tcPr>
          <w:p w14:paraId="4A1146F0">
            <w:pPr>
              <w:jc w:val="center"/>
              <w:rPr>
                <w:rFonts w:hint="eastAsia"/>
                <w:color w:val="000000"/>
                <w:sz w:val="22"/>
                <w:szCs w:val="22"/>
                <w:highlight w:val="none"/>
              </w:rPr>
            </w:pPr>
            <w:r>
              <w:rPr>
                <w:rFonts w:hint="eastAsia"/>
                <w:color w:val="000000"/>
                <w:sz w:val="22"/>
                <w:szCs w:val="22"/>
                <w:highlight w:val="none"/>
              </w:rPr>
              <w:t>2</w:t>
            </w:r>
          </w:p>
        </w:tc>
        <w:tc>
          <w:tcPr>
            <w:tcW w:w="1251" w:type="dxa"/>
            <w:gridSpan w:val="2"/>
            <w:vAlign w:val="center"/>
          </w:tcPr>
          <w:p w14:paraId="13DB3032">
            <w:pPr>
              <w:spacing w:line="360" w:lineRule="auto"/>
              <w:ind w:leftChars="-50" w:right="-126" w:rightChars="-60" w:hanging="105" w:hangingChars="50"/>
              <w:jc w:val="center"/>
              <w:rPr>
                <w:rFonts w:hint="eastAsia"/>
                <w:highlight w:val="none"/>
              </w:rPr>
            </w:pPr>
          </w:p>
        </w:tc>
        <w:tc>
          <w:tcPr>
            <w:tcW w:w="1982" w:type="dxa"/>
            <w:gridSpan w:val="2"/>
            <w:vAlign w:val="center"/>
          </w:tcPr>
          <w:p w14:paraId="5AD49AD2">
            <w:pPr>
              <w:spacing w:line="360" w:lineRule="auto"/>
              <w:ind w:right="-103" w:rightChars="-49"/>
              <w:jc w:val="center"/>
              <w:rPr>
                <w:rFonts w:hint="eastAsia"/>
                <w:highlight w:val="none"/>
              </w:rPr>
            </w:pPr>
          </w:p>
        </w:tc>
        <w:tc>
          <w:tcPr>
            <w:tcW w:w="2088" w:type="dxa"/>
            <w:gridSpan w:val="2"/>
            <w:vAlign w:val="center"/>
          </w:tcPr>
          <w:p w14:paraId="29444E05">
            <w:pPr>
              <w:spacing w:line="360" w:lineRule="auto"/>
              <w:ind w:right="-103" w:rightChars="-49"/>
              <w:jc w:val="center"/>
              <w:rPr>
                <w:rFonts w:hint="eastAsia"/>
                <w:highlight w:val="none"/>
              </w:rPr>
            </w:pPr>
          </w:p>
        </w:tc>
        <w:tc>
          <w:tcPr>
            <w:tcW w:w="2471" w:type="dxa"/>
            <w:vAlign w:val="center"/>
          </w:tcPr>
          <w:p w14:paraId="3C71E697">
            <w:pPr>
              <w:spacing w:line="360" w:lineRule="auto"/>
              <w:ind w:right="-103" w:rightChars="-49"/>
              <w:jc w:val="center"/>
              <w:rPr>
                <w:rFonts w:hint="eastAsia"/>
                <w:highlight w:val="none"/>
              </w:rPr>
            </w:pPr>
          </w:p>
        </w:tc>
      </w:tr>
      <w:tr w14:paraId="52D08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215" w:type="dxa"/>
            <w:vAlign w:val="center"/>
          </w:tcPr>
          <w:p w14:paraId="39D4F27E">
            <w:pPr>
              <w:jc w:val="center"/>
              <w:rPr>
                <w:rFonts w:hint="eastAsia"/>
                <w:color w:val="000000"/>
                <w:sz w:val="22"/>
                <w:szCs w:val="22"/>
                <w:highlight w:val="none"/>
              </w:rPr>
            </w:pPr>
            <w:r>
              <w:rPr>
                <w:rFonts w:hint="eastAsia"/>
                <w:color w:val="000000"/>
                <w:sz w:val="22"/>
                <w:szCs w:val="22"/>
                <w:highlight w:val="none"/>
              </w:rPr>
              <w:t>3</w:t>
            </w:r>
          </w:p>
        </w:tc>
        <w:tc>
          <w:tcPr>
            <w:tcW w:w="1251" w:type="dxa"/>
            <w:gridSpan w:val="2"/>
            <w:vAlign w:val="center"/>
          </w:tcPr>
          <w:p w14:paraId="39679F8B">
            <w:pPr>
              <w:spacing w:line="360" w:lineRule="auto"/>
              <w:ind w:leftChars="-50" w:right="-126" w:rightChars="-60" w:hanging="105" w:hangingChars="50"/>
              <w:jc w:val="center"/>
              <w:rPr>
                <w:rFonts w:hint="eastAsia"/>
                <w:highlight w:val="none"/>
              </w:rPr>
            </w:pPr>
          </w:p>
        </w:tc>
        <w:tc>
          <w:tcPr>
            <w:tcW w:w="1982" w:type="dxa"/>
            <w:gridSpan w:val="2"/>
            <w:vAlign w:val="center"/>
          </w:tcPr>
          <w:p w14:paraId="5760742E">
            <w:pPr>
              <w:spacing w:line="360" w:lineRule="auto"/>
              <w:ind w:right="-103" w:rightChars="-49"/>
              <w:jc w:val="center"/>
              <w:rPr>
                <w:rFonts w:hint="eastAsia"/>
                <w:highlight w:val="none"/>
              </w:rPr>
            </w:pPr>
          </w:p>
        </w:tc>
        <w:tc>
          <w:tcPr>
            <w:tcW w:w="2088" w:type="dxa"/>
            <w:gridSpan w:val="2"/>
            <w:vAlign w:val="center"/>
          </w:tcPr>
          <w:p w14:paraId="2A55FD00">
            <w:pPr>
              <w:spacing w:line="360" w:lineRule="auto"/>
              <w:ind w:right="-103" w:rightChars="-49"/>
              <w:jc w:val="center"/>
              <w:rPr>
                <w:rFonts w:hint="eastAsia"/>
                <w:highlight w:val="none"/>
              </w:rPr>
            </w:pPr>
          </w:p>
        </w:tc>
        <w:tc>
          <w:tcPr>
            <w:tcW w:w="2471" w:type="dxa"/>
            <w:vAlign w:val="center"/>
          </w:tcPr>
          <w:p w14:paraId="3FD7BF3E">
            <w:pPr>
              <w:spacing w:line="360" w:lineRule="auto"/>
              <w:ind w:right="-103" w:rightChars="-49"/>
              <w:jc w:val="center"/>
              <w:rPr>
                <w:rFonts w:hint="eastAsia"/>
                <w:highlight w:val="none"/>
              </w:rPr>
            </w:pPr>
          </w:p>
        </w:tc>
      </w:tr>
      <w:tr w14:paraId="4B75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215" w:type="dxa"/>
            <w:vAlign w:val="center"/>
          </w:tcPr>
          <w:p w14:paraId="735315BB">
            <w:pPr>
              <w:jc w:val="center"/>
              <w:rPr>
                <w:rFonts w:hint="eastAsia"/>
                <w:color w:val="000000"/>
                <w:sz w:val="22"/>
                <w:szCs w:val="22"/>
                <w:highlight w:val="none"/>
              </w:rPr>
            </w:pPr>
            <w:r>
              <w:rPr>
                <w:rFonts w:hint="eastAsia"/>
                <w:color w:val="000000"/>
                <w:sz w:val="22"/>
                <w:szCs w:val="22"/>
                <w:highlight w:val="none"/>
              </w:rPr>
              <w:t>4</w:t>
            </w:r>
          </w:p>
        </w:tc>
        <w:tc>
          <w:tcPr>
            <w:tcW w:w="1251" w:type="dxa"/>
            <w:gridSpan w:val="2"/>
            <w:vAlign w:val="center"/>
          </w:tcPr>
          <w:p w14:paraId="55759F58">
            <w:pPr>
              <w:spacing w:line="360" w:lineRule="auto"/>
              <w:ind w:leftChars="-50" w:right="-126" w:rightChars="-60" w:hanging="105" w:hangingChars="50"/>
              <w:jc w:val="center"/>
              <w:rPr>
                <w:rFonts w:hint="eastAsia"/>
                <w:highlight w:val="none"/>
              </w:rPr>
            </w:pPr>
          </w:p>
        </w:tc>
        <w:tc>
          <w:tcPr>
            <w:tcW w:w="1982" w:type="dxa"/>
            <w:gridSpan w:val="2"/>
            <w:vAlign w:val="center"/>
          </w:tcPr>
          <w:p w14:paraId="1C6EC8EA">
            <w:pPr>
              <w:spacing w:line="360" w:lineRule="auto"/>
              <w:ind w:right="-103" w:rightChars="-49"/>
              <w:jc w:val="center"/>
              <w:rPr>
                <w:rFonts w:hint="eastAsia"/>
                <w:highlight w:val="none"/>
              </w:rPr>
            </w:pPr>
          </w:p>
        </w:tc>
        <w:tc>
          <w:tcPr>
            <w:tcW w:w="2088" w:type="dxa"/>
            <w:gridSpan w:val="2"/>
            <w:vAlign w:val="center"/>
          </w:tcPr>
          <w:p w14:paraId="611E7998">
            <w:pPr>
              <w:spacing w:line="360" w:lineRule="auto"/>
              <w:ind w:right="-103" w:rightChars="-49"/>
              <w:jc w:val="center"/>
              <w:rPr>
                <w:rFonts w:hint="eastAsia"/>
                <w:highlight w:val="none"/>
              </w:rPr>
            </w:pPr>
          </w:p>
        </w:tc>
        <w:tc>
          <w:tcPr>
            <w:tcW w:w="2471" w:type="dxa"/>
            <w:vAlign w:val="center"/>
          </w:tcPr>
          <w:p w14:paraId="692BAC16">
            <w:pPr>
              <w:spacing w:line="360" w:lineRule="auto"/>
              <w:ind w:right="-103" w:rightChars="-49"/>
              <w:jc w:val="center"/>
              <w:rPr>
                <w:rFonts w:hint="eastAsia"/>
                <w:highlight w:val="none"/>
              </w:rPr>
            </w:pPr>
          </w:p>
        </w:tc>
      </w:tr>
    </w:tbl>
    <w:p w14:paraId="60D6AE50">
      <w:pPr>
        <w:pStyle w:val="36"/>
        <w:spacing w:before="158" w:after="158"/>
        <w:ind w:firstLine="210" w:firstLineChars="100"/>
        <w:rPr>
          <w:highlight w:val="none"/>
        </w:rPr>
        <w:sectPr>
          <w:footerReference r:id="rId13" w:type="default"/>
          <w:pgSz w:w="12240" w:h="15840"/>
          <w:pgMar w:top="1440" w:right="1800" w:bottom="1440" w:left="1800" w:header="720" w:footer="720" w:gutter="0"/>
          <w:cols w:space="720" w:num="1"/>
        </w:sectPr>
      </w:pPr>
      <w:r>
        <w:rPr>
          <w:rFonts w:hint="eastAsia"/>
          <w:highlight w:val="none"/>
        </w:rPr>
        <w:t>校准人：                             复核人：                        测试日期：</w:t>
      </w:r>
    </w:p>
    <w:bookmarkEnd w:id="62"/>
    <w:bookmarkEnd w:id="63"/>
    <w:bookmarkEnd w:id="64"/>
    <w:bookmarkEnd w:id="65"/>
    <w:p w14:paraId="09BCAF45">
      <w:pPr>
        <w:pStyle w:val="2"/>
        <w:spacing w:before="0" w:after="0" w:line="240" w:lineRule="auto"/>
        <w:rPr>
          <w:rFonts w:eastAsiaTheme="minorEastAsia"/>
          <w:b w:val="0"/>
          <w:sz w:val="24"/>
          <w:szCs w:val="24"/>
          <w:highlight w:val="none"/>
        </w:rPr>
      </w:pPr>
      <w:bookmarkStart w:id="66" w:name="_Toc25950"/>
      <w:bookmarkStart w:id="67" w:name="_Toc312673553"/>
      <w:bookmarkStart w:id="68" w:name="_Toc17208"/>
      <w:bookmarkStart w:id="69" w:name="_Toc7320"/>
      <w:bookmarkStart w:id="70" w:name="_Toc2968"/>
      <w:r>
        <w:rPr>
          <w:rFonts w:eastAsiaTheme="minorEastAsia"/>
          <w:b w:val="0"/>
          <w:sz w:val="24"/>
          <w:szCs w:val="24"/>
          <w:highlight w:val="none"/>
        </w:rPr>
        <w:t>附录</w:t>
      </w:r>
      <w:bookmarkEnd w:id="66"/>
      <w:bookmarkEnd w:id="67"/>
      <w:bookmarkEnd w:id="68"/>
      <w:bookmarkEnd w:id="69"/>
      <w:bookmarkEnd w:id="70"/>
      <w:r>
        <w:rPr>
          <w:rFonts w:eastAsiaTheme="minorEastAsia"/>
          <w:b w:val="0"/>
          <w:sz w:val="24"/>
          <w:szCs w:val="24"/>
          <w:highlight w:val="none"/>
        </w:rPr>
        <w:t>B</w:t>
      </w:r>
    </w:p>
    <w:p w14:paraId="269CA796">
      <w:pPr>
        <w:tabs>
          <w:tab w:val="left" w:pos="0"/>
        </w:tabs>
        <w:autoSpaceDE w:val="0"/>
        <w:autoSpaceDN w:val="0"/>
        <w:adjustRightInd w:val="0"/>
        <w:spacing w:line="360" w:lineRule="auto"/>
        <w:jc w:val="center"/>
        <w:rPr>
          <w:rFonts w:eastAsiaTheme="minorEastAsia"/>
          <w:sz w:val="24"/>
          <w:highlight w:val="none"/>
          <w:lang w:val="zh-CN"/>
        </w:rPr>
      </w:pPr>
      <w:r>
        <w:rPr>
          <w:rFonts w:eastAsiaTheme="minorEastAsia"/>
          <w:sz w:val="24"/>
          <w:highlight w:val="none"/>
        </w:rPr>
        <w:t>***测量结果的测量不确定度评定示例</w:t>
      </w:r>
    </w:p>
    <w:p w14:paraId="62D5DDD6">
      <w:pPr>
        <w:ind w:firstLine="420"/>
        <w:rPr>
          <w:rFonts w:eastAsiaTheme="minorEastAsia"/>
          <w:sz w:val="20"/>
          <w:szCs w:val="22"/>
          <w:highlight w:val="none"/>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BC965">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A9BEB">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5DA03">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358F4">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AE4A4">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ADB354">
                          <w:pPr>
                            <w:pStyle w:val="11"/>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EADB354">
                    <w:pPr>
                      <w:pStyle w:val="11"/>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DCDDA">
    <w:pPr>
      <w:pStyle w:val="11"/>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C06F6B">
                          <w:pPr>
                            <w:pStyle w:val="11"/>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7C06F6B">
                    <w:pPr>
                      <w:pStyle w:val="11"/>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8D241">
    <w:pPr>
      <w:pStyle w:val="11"/>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3FE6B3">
                          <w:pPr>
                            <w:pStyle w:val="11"/>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333FE6B3">
                    <w:pPr>
                      <w:pStyle w:val="11"/>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27BAD">
    <w:pPr>
      <w:pStyle w:val="11"/>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D1200B">
                          <w:pPr>
                            <w:pStyle w:val="11"/>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60D1200B">
                    <w:pPr>
                      <w:pStyle w:val="11"/>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8ABBD">
    <w:pPr>
      <w:pStyle w:val="12"/>
      <w:rPr>
        <w:rFonts w:ascii="黑体" w:eastAsia="黑体"/>
        <w:sz w:val="21"/>
        <w:szCs w:val="21"/>
      </w:rPr>
    </w:pPr>
    <w:r>
      <w:rPr>
        <w:rFonts w:hint="eastAsia" w:ascii="黑体" w:eastAsia="黑体"/>
        <w:sz w:val="21"/>
        <w:szCs w:val="21"/>
      </w:rPr>
      <w:t>JJF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CC806">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1A2E8">
    <w:pPr>
      <w:pStyle w:val="12"/>
      <w:pBdr>
        <w:bottom w:val="single" w:color="auto" w:sz="4" w:space="1"/>
      </w:pBdr>
    </w:pPr>
    <w:r>
      <w:rPr>
        <w:rFonts w:hint="eastAsia" w:ascii="黑体" w:eastAsia="黑体"/>
        <w:sz w:val="21"/>
        <w:szCs w:val="21"/>
      </w:rPr>
      <w:t>JJF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251A97"/>
    <w:multiLevelType w:val="multilevel"/>
    <w:tmpl w:val="31251A97"/>
    <w:lvl w:ilvl="0" w:tentative="0">
      <w:start w:val="1"/>
      <w:numFmt w:val="decimal"/>
      <w:pStyle w:val="41"/>
      <w:suff w:val="nothing"/>
      <w:lvlText w:val="%1 "/>
      <w:lvlJc w:val="left"/>
      <w:pPr>
        <w:ind w:left="284" w:firstLine="0"/>
      </w:pPr>
      <w:rPr>
        <w:rFonts w:hint="eastAsia" w:eastAsia="黑体"/>
        <w:b w:val="0"/>
        <w:i w:val="0"/>
        <w:sz w:val="21"/>
      </w:rPr>
    </w:lvl>
    <w:lvl w:ilvl="1" w:tentative="0">
      <w:start w:val="1"/>
      <w:numFmt w:val="decimal"/>
      <w:pStyle w:val="40"/>
      <w:suff w:val="nothing"/>
      <w:lvlText w:val="%1.%2 "/>
      <w:lvlJc w:val="left"/>
      <w:pPr>
        <w:ind w:left="284" w:firstLine="0"/>
      </w:pPr>
      <w:rPr>
        <w:rFonts w:hint="eastAsia" w:ascii="黑体" w:eastAsia="黑体"/>
        <w:b w:val="0"/>
        <w:i w:val="0"/>
        <w:sz w:val="21"/>
      </w:rPr>
    </w:lvl>
    <w:lvl w:ilvl="2" w:tentative="0">
      <w:start w:val="1"/>
      <w:numFmt w:val="decimal"/>
      <w:pStyle w:val="39"/>
      <w:suff w:val="nothing"/>
      <w:lvlText w:val="%1.%2.%3 "/>
      <w:lvlJc w:val="left"/>
      <w:pPr>
        <w:ind w:left="284" w:firstLine="0"/>
      </w:pPr>
      <w:rPr>
        <w:rFonts w:hint="eastAsia" w:ascii="黑体" w:eastAsia="黑体"/>
        <w:b w:val="0"/>
        <w:i w:val="0"/>
        <w:sz w:val="21"/>
      </w:rPr>
    </w:lvl>
    <w:lvl w:ilvl="3" w:tentative="0">
      <w:start w:val="1"/>
      <w:numFmt w:val="decimal"/>
      <w:pStyle w:val="42"/>
      <w:suff w:val="nothing"/>
      <w:lvlText w:val="%1.%2.%3.%4 "/>
      <w:lvlJc w:val="left"/>
      <w:pPr>
        <w:ind w:left="284" w:firstLine="0"/>
      </w:pPr>
      <w:rPr>
        <w:rFonts w:hint="eastAsia" w:ascii="黑体" w:eastAsia="黑体"/>
        <w:b w:val="0"/>
        <w:i w:val="0"/>
        <w:sz w:val="21"/>
      </w:rPr>
    </w:lvl>
    <w:lvl w:ilvl="4" w:tentative="0">
      <w:start w:val="1"/>
      <w:numFmt w:val="decimal"/>
      <w:pStyle w:val="43"/>
      <w:suff w:val="nothing"/>
      <w:lvlText w:val="%1.%2.%3.%4.%5 "/>
      <w:lvlJc w:val="left"/>
      <w:pPr>
        <w:ind w:left="284" w:firstLine="0"/>
      </w:pPr>
      <w:rPr>
        <w:rFonts w:hint="eastAsia" w:ascii="黑体" w:eastAsia="黑体"/>
        <w:b w:val="0"/>
        <w:i w:val="0"/>
        <w:sz w:val="21"/>
      </w:rPr>
    </w:lvl>
    <w:lvl w:ilvl="5" w:tentative="0">
      <w:start w:val="1"/>
      <w:numFmt w:val="decimal"/>
      <w:suff w:val="nothing"/>
      <w:lvlText w:val="%1.%2.%3.%4.%5.%6 "/>
      <w:lvlJc w:val="left"/>
      <w:pPr>
        <w:ind w:left="284" w:firstLine="0"/>
      </w:pPr>
      <w:rPr>
        <w:rFonts w:hint="eastAsia" w:ascii="黑体" w:eastAsia="黑体"/>
        <w:b w:val="0"/>
        <w:i w:val="0"/>
        <w:sz w:val="21"/>
      </w:rPr>
    </w:lvl>
    <w:lvl w:ilvl="6" w:tentative="0">
      <w:start w:val="1"/>
      <w:numFmt w:val="decimal"/>
      <w:lvlText w:val="%1.%2.%3.%4.%5.%6.%7."/>
      <w:lvlJc w:val="left"/>
      <w:pPr>
        <w:ind w:left="284" w:firstLine="0"/>
      </w:pPr>
      <w:rPr>
        <w:rFonts w:hint="eastAsia"/>
      </w:rPr>
    </w:lvl>
    <w:lvl w:ilvl="7" w:tentative="0">
      <w:start w:val="1"/>
      <w:numFmt w:val="decimal"/>
      <w:lvlText w:val="%1.%2.%3.%4.%5.%6.%7.%8."/>
      <w:lvlJc w:val="left"/>
      <w:pPr>
        <w:ind w:left="284" w:firstLine="0"/>
      </w:pPr>
      <w:rPr>
        <w:rFonts w:hint="eastAsia"/>
      </w:rPr>
    </w:lvl>
    <w:lvl w:ilvl="8" w:tentative="0">
      <w:start w:val="1"/>
      <w:numFmt w:val="decimal"/>
      <w:lvlText w:val="%1.%2.%3.%4.%5.%6.%7.%8.%9."/>
      <w:lvlJc w:val="left"/>
      <w:pPr>
        <w:ind w:left="284"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19E4"/>
    <w:rsid w:val="00010413"/>
    <w:rsid w:val="00012412"/>
    <w:rsid w:val="00013A18"/>
    <w:rsid w:val="000157F4"/>
    <w:rsid w:val="000228D4"/>
    <w:rsid w:val="0002391D"/>
    <w:rsid w:val="00023948"/>
    <w:rsid w:val="00054F3F"/>
    <w:rsid w:val="00055002"/>
    <w:rsid w:val="00057277"/>
    <w:rsid w:val="0006053A"/>
    <w:rsid w:val="000713F7"/>
    <w:rsid w:val="00071E52"/>
    <w:rsid w:val="00074C2E"/>
    <w:rsid w:val="00080518"/>
    <w:rsid w:val="00085397"/>
    <w:rsid w:val="00091E26"/>
    <w:rsid w:val="00092D81"/>
    <w:rsid w:val="000975E5"/>
    <w:rsid w:val="00097829"/>
    <w:rsid w:val="000A0FD8"/>
    <w:rsid w:val="000A120D"/>
    <w:rsid w:val="000A32B6"/>
    <w:rsid w:val="000B453A"/>
    <w:rsid w:val="000D1CE4"/>
    <w:rsid w:val="000D4CDE"/>
    <w:rsid w:val="000D4F62"/>
    <w:rsid w:val="000D75A6"/>
    <w:rsid w:val="000D7BAB"/>
    <w:rsid w:val="000F7577"/>
    <w:rsid w:val="00101321"/>
    <w:rsid w:val="00106C98"/>
    <w:rsid w:val="00107193"/>
    <w:rsid w:val="001203C1"/>
    <w:rsid w:val="00123ADD"/>
    <w:rsid w:val="00132BD0"/>
    <w:rsid w:val="00133D3E"/>
    <w:rsid w:val="00135076"/>
    <w:rsid w:val="00142089"/>
    <w:rsid w:val="0014465B"/>
    <w:rsid w:val="00144F04"/>
    <w:rsid w:val="00151B70"/>
    <w:rsid w:val="00152788"/>
    <w:rsid w:val="001556C7"/>
    <w:rsid w:val="00171B73"/>
    <w:rsid w:val="00172A27"/>
    <w:rsid w:val="00180CBE"/>
    <w:rsid w:val="0018702A"/>
    <w:rsid w:val="001925C5"/>
    <w:rsid w:val="001B32D5"/>
    <w:rsid w:val="001B5E85"/>
    <w:rsid w:val="001C09B2"/>
    <w:rsid w:val="001C0F06"/>
    <w:rsid w:val="001C2089"/>
    <w:rsid w:val="001C3289"/>
    <w:rsid w:val="001C4B16"/>
    <w:rsid w:val="001D0AF8"/>
    <w:rsid w:val="001D2891"/>
    <w:rsid w:val="001D2F7B"/>
    <w:rsid w:val="001D3E81"/>
    <w:rsid w:val="001D5C04"/>
    <w:rsid w:val="001D6387"/>
    <w:rsid w:val="001E2177"/>
    <w:rsid w:val="001E3799"/>
    <w:rsid w:val="001F3EBB"/>
    <w:rsid w:val="001F7451"/>
    <w:rsid w:val="001F7C08"/>
    <w:rsid w:val="00200240"/>
    <w:rsid w:val="00203377"/>
    <w:rsid w:val="002047F8"/>
    <w:rsid w:val="0020679E"/>
    <w:rsid w:val="0021223E"/>
    <w:rsid w:val="00213003"/>
    <w:rsid w:val="002162C3"/>
    <w:rsid w:val="0022040A"/>
    <w:rsid w:val="00222769"/>
    <w:rsid w:val="00227C8E"/>
    <w:rsid w:val="00230073"/>
    <w:rsid w:val="00243450"/>
    <w:rsid w:val="00252BFA"/>
    <w:rsid w:val="00252E03"/>
    <w:rsid w:val="00260F28"/>
    <w:rsid w:val="0026127D"/>
    <w:rsid w:val="00261423"/>
    <w:rsid w:val="002625F5"/>
    <w:rsid w:val="0026284D"/>
    <w:rsid w:val="00262A6C"/>
    <w:rsid w:val="002661BB"/>
    <w:rsid w:val="00273BD9"/>
    <w:rsid w:val="00277EF9"/>
    <w:rsid w:val="002800AE"/>
    <w:rsid w:val="00285593"/>
    <w:rsid w:val="00287B0E"/>
    <w:rsid w:val="00292033"/>
    <w:rsid w:val="00292BEF"/>
    <w:rsid w:val="002A2F00"/>
    <w:rsid w:val="002A40CA"/>
    <w:rsid w:val="002B1329"/>
    <w:rsid w:val="002B5833"/>
    <w:rsid w:val="002B5F15"/>
    <w:rsid w:val="002C2F5B"/>
    <w:rsid w:val="002C5BE2"/>
    <w:rsid w:val="002C5F56"/>
    <w:rsid w:val="002C6712"/>
    <w:rsid w:val="002C7861"/>
    <w:rsid w:val="002D06D5"/>
    <w:rsid w:val="002E5ECE"/>
    <w:rsid w:val="002F65F7"/>
    <w:rsid w:val="002F6A0B"/>
    <w:rsid w:val="00301147"/>
    <w:rsid w:val="00312BA0"/>
    <w:rsid w:val="003171A6"/>
    <w:rsid w:val="00317C54"/>
    <w:rsid w:val="003266FE"/>
    <w:rsid w:val="00336F14"/>
    <w:rsid w:val="00357A7E"/>
    <w:rsid w:val="00357D46"/>
    <w:rsid w:val="0036109F"/>
    <w:rsid w:val="003618FE"/>
    <w:rsid w:val="003749F0"/>
    <w:rsid w:val="00376706"/>
    <w:rsid w:val="00386E1B"/>
    <w:rsid w:val="00392617"/>
    <w:rsid w:val="003A4024"/>
    <w:rsid w:val="003A68D1"/>
    <w:rsid w:val="003B0DCF"/>
    <w:rsid w:val="003B7819"/>
    <w:rsid w:val="003C12B5"/>
    <w:rsid w:val="003C2829"/>
    <w:rsid w:val="003D0D7D"/>
    <w:rsid w:val="003E543F"/>
    <w:rsid w:val="003F4DF5"/>
    <w:rsid w:val="003F79A6"/>
    <w:rsid w:val="0040143F"/>
    <w:rsid w:val="00401B39"/>
    <w:rsid w:val="00404DBF"/>
    <w:rsid w:val="00413E24"/>
    <w:rsid w:val="0041435E"/>
    <w:rsid w:val="004174EF"/>
    <w:rsid w:val="00422DA6"/>
    <w:rsid w:val="00433F43"/>
    <w:rsid w:val="00436401"/>
    <w:rsid w:val="004422B5"/>
    <w:rsid w:val="00442890"/>
    <w:rsid w:val="00447892"/>
    <w:rsid w:val="00464B9D"/>
    <w:rsid w:val="00465C5D"/>
    <w:rsid w:val="00467693"/>
    <w:rsid w:val="00475B40"/>
    <w:rsid w:val="00485C2E"/>
    <w:rsid w:val="004865A1"/>
    <w:rsid w:val="004903A7"/>
    <w:rsid w:val="004A0823"/>
    <w:rsid w:val="004A4117"/>
    <w:rsid w:val="004A678B"/>
    <w:rsid w:val="004B5878"/>
    <w:rsid w:val="004C252E"/>
    <w:rsid w:val="004C38F6"/>
    <w:rsid w:val="004D11F0"/>
    <w:rsid w:val="004D59A0"/>
    <w:rsid w:val="004E2D1C"/>
    <w:rsid w:val="004F0BC6"/>
    <w:rsid w:val="004F1FA3"/>
    <w:rsid w:val="00503A22"/>
    <w:rsid w:val="005156B9"/>
    <w:rsid w:val="00521E2A"/>
    <w:rsid w:val="00524E61"/>
    <w:rsid w:val="00540318"/>
    <w:rsid w:val="005425ED"/>
    <w:rsid w:val="00544401"/>
    <w:rsid w:val="00544B58"/>
    <w:rsid w:val="0054695F"/>
    <w:rsid w:val="00554C8B"/>
    <w:rsid w:val="00555AFA"/>
    <w:rsid w:val="00560A28"/>
    <w:rsid w:val="005613AA"/>
    <w:rsid w:val="005662FD"/>
    <w:rsid w:val="0058147E"/>
    <w:rsid w:val="0058346C"/>
    <w:rsid w:val="00593B33"/>
    <w:rsid w:val="005A112C"/>
    <w:rsid w:val="005A26CD"/>
    <w:rsid w:val="005A3EA7"/>
    <w:rsid w:val="005A57B6"/>
    <w:rsid w:val="005B1254"/>
    <w:rsid w:val="005B14CE"/>
    <w:rsid w:val="005B1C77"/>
    <w:rsid w:val="005B2668"/>
    <w:rsid w:val="005C2F92"/>
    <w:rsid w:val="005C5C05"/>
    <w:rsid w:val="005D6972"/>
    <w:rsid w:val="005E38A4"/>
    <w:rsid w:val="005E6941"/>
    <w:rsid w:val="005F0C6C"/>
    <w:rsid w:val="005F1D8C"/>
    <w:rsid w:val="005F53A3"/>
    <w:rsid w:val="00603502"/>
    <w:rsid w:val="00604975"/>
    <w:rsid w:val="00604B5E"/>
    <w:rsid w:val="00605D32"/>
    <w:rsid w:val="00606FF6"/>
    <w:rsid w:val="006112D0"/>
    <w:rsid w:val="006213A5"/>
    <w:rsid w:val="00621DEE"/>
    <w:rsid w:val="00622AB6"/>
    <w:rsid w:val="006273B9"/>
    <w:rsid w:val="006358E1"/>
    <w:rsid w:val="00635952"/>
    <w:rsid w:val="00636139"/>
    <w:rsid w:val="00640CA0"/>
    <w:rsid w:val="00641630"/>
    <w:rsid w:val="006545FB"/>
    <w:rsid w:val="00655647"/>
    <w:rsid w:val="0065608E"/>
    <w:rsid w:val="00675324"/>
    <w:rsid w:val="00681646"/>
    <w:rsid w:val="006819B1"/>
    <w:rsid w:val="0069141E"/>
    <w:rsid w:val="006A19C7"/>
    <w:rsid w:val="006A69FA"/>
    <w:rsid w:val="006C032F"/>
    <w:rsid w:val="006C03A0"/>
    <w:rsid w:val="006C1C65"/>
    <w:rsid w:val="006C4AC9"/>
    <w:rsid w:val="006C6485"/>
    <w:rsid w:val="006D5185"/>
    <w:rsid w:val="006F1C38"/>
    <w:rsid w:val="006F3E31"/>
    <w:rsid w:val="00702BE0"/>
    <w:rsid w:val="0071125D"/>
    <w:rsid w:val="007126F5"/>
    <w:rsid w:val="0071722F"/>
    <w:rsid w:val="00717681"/>
    <w:rsid w:val="00720D4C"/>
    <w:rsid w:val="007244C6"/>
    <w:rsid w:val="007246F0"/>
    <w:rsid w:val="007279D8"/>
    <w:rsid w:val="0073442F"/>
    <w:rsid w:val="00743718"/>
    <w:rsid w:val="00746D5D"/>
    <w:rsid w:val="00747198"/>
    <w:rsid w:val="00751890"/>
    <w:rsid w:val="00760A0B"/>
    <w:rsid w:val="00762DD1"/>
    <w:rsid w:val="007635E4"/>
    <w:rsid w:val="00770FC8"/>
    <w:rsid w:val="00772203"/>
    <w:rsid w:val="007744C3"/>
    <w:rsid w:val="00792B4C"/>
    <w:rsid w:val="0079692C"/>
    <w:rsid w:val="007A4E0F"/>
    <w:rsid w:val="007A5C72"/>
    <w:rsid w:val="007A7604"/>
    <w:rsid w:val="007B1398"/>
    <w:rsid w:val="007B4442"/>
    <w:rsid w:val="007C03E1"/>
    <w:rsid w:val="007C277E"/>
    <w:rsid w:val="007C29A0"/>
    <w:rsid w:val="007C4EF4"/>
    <w:rsid w:val="007C5AB1"/>
    <w:rsid w:val="007C7088"/>
    <w:rsid w:val="007C7720"/>
    <w:rsid w:val="007D0EA9"/>
    <w:rsid w:val="007E125C"/>
    <w:rsid w:val="007E145D"/>
    <w:rsid w:val="007E35A9"/>
    <w:rsid w:val="007F191B"/>
    <w:rsid w:val="007F3D90"/>
    <w:rsid w:val="007F4B3F"/>
    <w:rsid w:val="007F5584"/>
    <w:rsid w:val="00803810"/>
    <w:rsid w:val="00805FC6"/>
    <w:rsid w:val="00810D34"/>
    <w:rsid w:val="008165E8"/>
    <w:rsid w:val="008252F6"/>
    <w:rsid w:val="00826CF3"/>
    <w:rsid w:val="00830168"/>
    <w:rsid w:val="00830E65"/>
    <w:rsid w:val="00843EFC"/>
    <w:rsid w:val="00847C8D"/>
    <w:rsid w:val="00853075"/>
    <w:rsid w:val="00857E0C"/>
    <w:rsid w:val="008647A9"/>
    <w:rsid w:val="008666E9"/>
    <w:rsid w:val="00872179"/>
    <w:rsid w:val="008942F3"/>
    <w:rsid w:val="00894A7D"/>
    <w:rsid w:val="008A3E3D"/>
    <w:rsid w:val="008A62A1"/>
    <w:rsid w:val="008B191B"/>
    <w:rsid w:val="008B1B1D"/>
    <w:rsid w:val="008B58B6"/>
    <w:rsid w:val="008B6057"/>
    <w:rsid w:val="008B6329"/>
    <w:rsid w:val="008B7C13"/>
    <w:rsid w:val="008C41D1"/>
    <w:rsid w:val="008C4576"/>
    <w:rsid w:val="008C5D1E"/>
    <w:rsid w:val="008D0F65"/>
    <w:rsid w:val="008D10CD"/>
    <w:rsid w:val="008D1936"/>
    <w:rsid w:val="008D264B"/>
    <w:rsid w:val="008D5BB0"/>
    <w:rsid w:val="008E1CB3"/>
    <w:rsid w:val="008E561D"/>
    <w:rsid w:val="008E7534"/>
    <w:rsid w:val="008F3A43"/>
    <w:rsid w:val="008F5ED4"/>
    <w:rsid w:val="008F672E"/>
    <w:rsid w:val="00901100"/>
    <w:rsid w:val="0090243E"/>
    <w:rsid w:val="009044D6"/>
    <w:rsid w:val="009064FF"/>
    <w:rsid w:val="00906D3A"/>
    <w:rsid w:val="00907F9A"/>
    <w:rsid w:val="009135CA"/>
    <w:rsid w:val="00913826"/>
    <w:rsid w:val="00913DD8"/>
    <w:rsid w:val="00913E79"/>
    <w:rsid w:val="00923D2E"/>
    <w:rsid w:val="00925E15"/>
    <w:rsid w:val="00930FCB"/>
    <w:rsid w:val="00934BCD"/>
    <w:rsid w:val="00937162"/>
    <w:rsid w:val="00937A6E"/>
    <w:rsid w:val="0094452B"/>
    <w:rsid w:val="009462E7"/>
    <w:rsid w:val="009475F1"/>
    <w:rsid w:val="00962279"/>
    <w:rsid w:val="0096313A"/>
    <w:rsid w:val="0097322C"/>
    <w:rsid w:val="009774E0"/>
    <w:rsid w:val="00980E45"/>
    <w:rsid w:val="009842A8"/>
    <w:rsid w:val="00992B55"/>
    <w:rsid w:val="0099364A"/>
    <w:rsid w:val="009A02C7"/>
    <w:rsid w:val="009A13CF"/>
    <w:rsid w:val="009B11B5"/>
    <w:rsid w:val="009B1990"/>
    <w:rsid w:val="009B272A"/>
    <w:rsid w:val="009C010A"/>
    <w:rsid w:val="009D33A8"/>
    <w:rsid w:val="009E31E8"/>
    <w:rsid w:val="009E4968"/>
    <w:rsid w:val="009E5DC6"/>
    <w:rsid w:val="009F2B63"/>
    <w:rsid w:val="009F3566"/>
    <w:rsid w:val="00A10103"/>
    <w:rsid w:val="00A10195"/>
    <w:rsid w:val="00A2691F"/>
    <w:rsid w:val="00A2794B"/>
    <w:rsid w:val="00A30B44"/>
    <w:rsid w:val="00A329FC"/>
    <w:rsid w:val="00A35935"/>
    <w:rsid w:val="00A452D3"/>
    <w:rsid w:val="00A453FF"/>
    <w:rsid w:val="00A45466"/>
    <w:rsid w:val="00A540EA"/>
    <w:rsid w:val="00A5499B"/>
    <w:rsid w:val="00A549D8"/>
    <w:rsid w:val="00A67FFD"/>
    <w:rsid w:val="00A77C69"/>
    <w:rsid w:val="00A8260A"/>
    <w:rsid w:val="00A91F40"/>
    <w:rsid w:val="00A92C6E"/>
    <w:rsid w:val="00AA118B"/>
    <w:rsid w:val="00AA4ACF"/>
    <w:rsid w:val="00AA4F39"/>
    <w:rsid w:val="00AA76FF"/>
    <w:rsid w:val="00AB2F03"/>
    <w:rsid w:val="00AB30CD"/>
    <w:rsid w:val="00AB5CF1"/>
    <w:rsid w:val="00AC16DF"/>
    <w:rsid w:val="00AC4DB5"/>
    <w:rsid w:val="00AE0BDD"/>
    <w:rsid w:val="00AE6554"/>
    <w:rsid w:val="00AF04C1"/>
    <w:rsid w:val="00AF1517"/>
    <w:rsid w:val="00AF2155"/>
    <w:rsid w:val="00AF78A9"/>
    <w:rsid w:val="00B008A8"/>
    <w:rsid w:val="00B037DA"/>
    <w:rsid w:val="00B074DF"/>
    <w:rsid w:val="00B16738"/>
    <w:rsid w:val="00B1683A"/>
    <w:rsid w:val="00B272CD"/>
    <w:rsid w:val="00B35917"/>
    <w:rsid w:val="00B602EE"/>
    <w:rsid w:val="00B6174B"/>
    <w:rsid w:val="00B62B43"/>
    <w:rsid w:val="00B64181"/>
    <w:rsid w:val="00B7026D"/>
    <w:rsid w:val="00B70695"/>
    <w:rsid w:val="00B710D6"/>
    <w:rsid w:val="00B7597F"/>
    <w:rsid w:val="00B86499"/>
    <w:rsid w:val="00B8656C"/>
    <w:rsid w:val="00B875B1"/>
    <w:rsid w:val="00B90126"/>
    <w:rsid w:val="00B93459"/>
    <w:rsid w:val="00B93876"/>
    <w:rsid w:val="00BA0A77"/>
    <w:rsid w:val="00BA7B80"/>
    <w:rsid w:val="00BB6158"/>
    <w:rsid w:val="00BC2F2E"/>
    <w:rsid w:val="00BD7498"/>
    <w:rsid w:val="00BD7AEA"/>
    <w:rsid w:val="00BE21D8"/>
    <w:rsid w:val="00BE3C82"/>
    <w:rsid w:val="00BE5A93"/>
    <w:rsid w:val="00BF2FDC"/>
    <w:rsid w:val="00C0236F"/>
    <w:rsid w:val="00C04FCF"/>
    <w:rsid w:val="00C10CDF"/>
    <w:rsid w:val="00C128EE"/>
    <w:rsid w:val="00C17A56"/>
    <w:rsid w:val="00C2315D"/>
    <w:rsid w:val="00C30711"/>
    <w:rsid w:val="00C352EA"/>
    <w:rsid w:val="00C37BE6"/>
    <w:rsid w:val="00C40576"/>
    <w:rsid w:val="00C40F47"/>
    <w:rsid w:val="00C451A2"/>
    <w:rsid w:val="00C47A14"/>
    <w:rsid w:val="00C52008"/>
    <w:rsid w:val="00C54A7E"/>
    <w:rsid w:val="00C604CC"/>
    <w:rsid w:val="00C62812"/>
    <w:rsid w:val="00C759C7"/>
    <w:rsid w:val="00C75E4C"/>
    <w:rsid w:val="00C82BC7"/>
    <w:rsid w:val="00C85F71"/>
    <w:rsid w:val="00C91164"/>
    <w:rsid w:val="00C91709"/>
    <w:rsid w:val="00C91E3A"/>
    <w:rsid w:val="00C92A44"/>
    <w:rsid w:val="00C960A9"/>
    <w:rsid w:val="00CA6C8E"/>
    <w:rsid w:val="00CB0DA8"/>
    <w:rsid w:val="00CB1049"/>
    <w:rsid w:val="00CB152A"/>
    <w:rsid w:val="00CB5D59"/>
    <w:rsid w:val="00CC1757"/>
    <w:rsid w:val="00CC23C8"/>
    <w:rsid w:val="00CC28B3"/>
    <w:rsid w:val="00CC3CE2"/>
    <w:rsid w:val="00CD1F38"/>
    <w:rsid w:val="00CD4630"/>
    <w:rsid w:val="00CD543C"/>
    <w:rsid w:val="00CE0C81"/>
    <w:rsid w:val="00CE42EC"/>
    <w:rsid w:val="00CE6F00"/>
    <w:rsid w:val="00D037D4"/>
    <w:rsid w:val="00D066AB"/>
    <w:rsid w:val="00D07758"/>
    <w:rsid w:val="00D102DE"/>
    <w:rsid w:val="00D17B71"/>
    <w:rsid w:val="00D214AF"/>
    <w:rsid w:val="00D23579"/>
    <w:rsid w:val="00D25576"/>
    <w:rsid w:val="00D27164"/>
    <w:rsid w:val="00D31628"/>
    <w:rsid w:val="00D34AD8"/>
    <w:rsid w:val="00D430F6"/>
    <w:rsid w:val="00D433E8"/>
    <w:rsid w:val="00D50B76"/>
    <w:rsid w:val="00D52AB9"/>
    <w:rsid w:val="00D54087"/>
    <w:rsid w:val="00D54A09"/>
    <w:rsid w:val="00D60E83"/>
    <w:rsid w:val="00D62BA1"/>
    <w:rsid w:val="00D66E26"/>
    <w:rsid w:val="00D710D9"/>
    <w:rsid w:val="00D724CB"/>
    <w:rsid w:val="00D86B6B"/>
    <w:rsid w:val="00D901FE"/>
    <w:rsid w:val="00D9315B"/>
    <w:rsid w:val="00D94291"/>
    <w:rsid w:val="00D952CB"/>
    <w:rsid w:val="00DA07E0"/>
    <w:rsid w:val="00DA24C8"/>
    <w:rsid w:val="00DB3844"/>
    <w:rsid w:val="00DB5EC4"/>
    <w:rsid w:val="00DC1FA1"/>
    <w:rsid w:val="00DC5F1B"/>
    <w:rsid w:val="00DC60C1"/>
    <w:rsid w:val="00DD6461"/>
    <w:rsid w:val="00DE1CA9"/>
    <w:rsid w:val="00DE34CA"/>
    <w:rsid w:val="00DE5980"/>
    <w:rsid w:val="00DF005B"/>
    <w:rsid w:val="00DF03E7"/>
    <w:rsid w:val="00DF5366"/>
    <w:rsid w:val="00E0240F"/>
    <w:rsid w:val="00E0368D"/>
    <w:rsid w:val="00E168AC"/>
    <w:rsid w:val="00E16A93"/>
    <w:rsid w:val="00E1704A"/>
    <w:rsid w:val="00E2059B"/>
    <w:rsid w:val="00E2076B"/>
    <w:rsid w:val="00E235AB"/>
    <w:rsid w:val="00E24610"/>
    <w:rsid w:val="00E3080B"/>
    <w:rsid w:val="00E35082"/>
    <w:rsid w:val="00E3629B"/>
    <w:rsid w:val="00E3702A"/>
    <w:rsid w:val="00E4275F"/>
    <w:rsid w:val="00E57231"/>
    <w:rsid w:val="00E637C9"/>
    <w:rsid w:val="00E63FB2"/>
    <w:rsid w:val="00E64D3E"/>
    <w:rsid w:val="00E6585A"/>
    <w:rsid w:val="00E753B1"/>
    <w:rsid w:val="00E75855"/>
    <w:rsid w:val="00E76290"/>
    <w:rsid w:val="00E76D0B"/>
    <w:rsid w:val="00E77790"/>
    <w:rsid w:val="00E80AB4"/>
    <w:rsid w:val="00E8416A"/>
    <w:rsid w:val="00E84756"/>
    <w:rsid w:val="00E9315E"/>
    <w:rsid w:val="00E955A4"/>
    <w:rsid w:val="00E976F2"/>
    <w:rsid w:val="00EA4FE1"/>
    <w:rsid w:val="00EA55A8"/>
    <w:rsid w:val="00EA6112"/>
    <w:rsid w:val="00EB4454"/>
    <w:rsid w:val="00EC486A"/>
    <w:rsid w:val="00ED342A"/>
    <w:rsid w:val="00EE146D"/>
    <w:rsid w:val="00EE2365"/>
    <w:rsid w:val="00EE359F"/>
    <w:rsid w:val="00EE6A6F"/>
    <w:rsid w:val="00EF2386"/>
    <w:rsid w:val="00EF40C9"/>
    <w:rsid w:val="00F01C3D"/>
    <w:rsid w:val="00F04425"/>
    <w:rsid w:val="00F076C7"/>
    <w:rsid w:val="00F13A5A"/>
    <w:rsid w:val="00F16728"/>
    <w:rsid w:val="00F27129"/>
    <w:rsid w:val="00F27C66"/>
    <w:rsid w:val="00F30D0B"/>
    <w:rsid w:val="00F30D50"/>
    <w:rsid w:val="00F35F6B"/>
    <w:rsid w:val="00F371FE"/>
    <w:rsid w:val="00F40120"/>
    <w:rsid w:val="00F408EB"/>
    <w:rsid w:val="00F422D8"/>
    <w:rsid w:val="00F503EB"/>
    <w:rsid w:val="00F5393B"/>
    <w:rsid w:val="00F61EE3"/>
    <w:rsid w:val="00F6239D"/>
    <w:rsid w:val="00F63108"/>
    <w:rsid w:val="00F63655"/>
    <w:rsid w:val="00F73B8C"/>
    <w:rsid w:val="00F7525E"/>
    <w:rsid w:val="00F9086F"/>
    <w:rsid w:val="00F9503E"/>
    <w:rsid w:val="00F95FDC"/>
    <w:rsid w:val="00F9617A"/>
    <w:rsid w:val="00FA00ED"/>
    <w:rsid w:val="00FA2D26"/>
    <w:rsid w:val="00FA566B"/>
    <w:rsid w:val="00FA5A98"/>
    <w:rsid w:val="00FA78EF"/>
    <w:rsid w:val="00FB037D"/>
    <w:rsid w:val="00FB1806"/>
    <w:rsid w:val="00FB2BE1"/>
    <w:rsid w:val="00FB2BEA"/>
    <w:rsid w:val="00FB2E4C"/>
    <w:rsid w:val="00FB32F7"/>
    <w:rsid w:val="00FD4118"/>
    <w:rsid w:val="00FE2A2D"/>
    <w:rsid w:val="00FF12D1"/>
    <w:rsid w:val="00FF4CBB"/>
    <w:rsid w:val="00FF6C0D"/>
    <w:rsid w:val="00FF6D09"/>
    <w:rsid w:val="01180EA8"/>
    <w:rsid w:val="011C427B"/>
    <w:rsid w:val="01253BF3"/>
    <w:rsid w:val="012B385A"/>
    <w:rsid w:val="0153177E"/>
    <w:rsid w:val="015431D8"/>
    <w:rsid w:val="01556249"/>
    <w:rsid w:val="01571223"/>
    <w:rsid w:val="01592D9C"/>
    <w:rsid w:val="01666C58"/>
    <w:rsid w:val="016A75BB"/>
    <w:rsid w:val="017E1201"/>
    <w:rsid w:val="0187729B"/>
    <w:rsid w:val="01A41AA9"/>
    <w:rsid w:val="01AC79DC"/>
    <w:rsid w:val="01C84132"/>
    <w:rsid w:val="01C87910"/>
    <w:rsid w:val="01C97AA2"/>
    <w:rsid w:val="01CF7EB4"/>
    <w:rsid w:val="01D120DA"/>
    <w:rsid w:val="01F92855"/>
    <w:rsid w:val="01FF5C38"/>
    <w:rsid w:val="02072689"/>
    <w:rsid w:val="02265D73"/>
    <w:rsid w:val="022A50D4"/>
    <w:rsid w:val="024B0C48"/>
    <w:rsid w:val="02835D84"/>
    <w:rsid w:val="028B4F34"/>
    <w:rsid w:val="029C6644"/>
    <w:rsid w:val="02A92F5A"/>
    <w:rsid w:val="02B37411"/>
    <w:rsid w:val="02C15326"/>
    <w:rsid w:val="02C25D21"/>
    <w:rsid w:val="02CC485F"/>
    <w:rsid w:val="02D06BF4"/>
    <w:rsid w:val="02DA2319"/>
    <w:rsid w:val="02E600D7"/>
    <w:rsid w:val="02E90D97"/>
    <w:rsid w:val="02F86025"/>
    <w:rsid w:val="02FF7AA3"/>
    <w:rsid w:val="03180B2F"/>
    <w:rsid w:val="03187987"/>
    <w:rsid w:val="033001A8"/>
    <w:rsid w:val="03350CCA"/>
    <w:rsid w:val="03404321"/>
    <w:rsid w:val="034254DD"/>
    <w:rsid w:val="03456290"/>
    <w:rsid w:val="035717B8"/>
    <w:rsid w:val="037E3E8A"/>
    <w:rsid w:val="038509D2"/>
    <w:rsid w:val="03923107"/>
    <w:rsid w:val="03A54079"/>
    <w:rsid w:val="03CE63C5"/>
    <w:rsid w:val="04151A02"/>
    <w:rsid w:val="04265534"/>
    <w:rsid w:val="042877B7"/>
    <w:rsid w:val="043333A9"/>
    <w:rsid w:val="043649E1"/>
    <w:rsid w:val="04440C22"/>
    <w:rsid w:val="044D3DD1"/>
    <w:rsid w:val="04984FA0"/>
    <w:rsid w:val="04A81C4A"/>
    <w:rsid w:val="04F215AE"/>
    <w:rsid w:val="051E21E5"/>
    <w:rsid w:val="05211BD6"/>
    <w:rsid w:val="05241379"/>
    <w:rsid w:val="0531701F"/>
    <w:rsid w:val="05371F66"/>
    <w:rsid w:val="053A1C7B"/>
    <w:rsid w:val="05431085"/>
    <w:rsid w:val="05917C35"/>
    <w:rsid w:val="05962EBB"/>
    <w:rsid w:val="05A958C5"/>
    <w:rsid w:val="05AA6CAA"/>
    <w:rsid w:val="05B44CB7"/>
    <w:rsid w:val="05C71390"/>
    <w:rsid w:val="0603617A"/>
    <w:rsid w:val="06356174"/>
    <w:rsid w:val="064245FD"/>
    <w:rsid w:val="06465019"/>
    <w:rsid w:val="06670427"/>
    <w:rsid w:val="066A3D9A"/>
    <w:rsid w:val="066A5219"/>
    <w:rsid w:val="06747E8B"/>
    <w:rsid w:val="06950F78"/>
    <w:rsid w:val="06986E6D"/>
    <w:rsid w:val="06C03453"/>
    <w:rsid w:val="06C501A8"/>
    <w:rsid w:val="06C84143"/>
    <w:rsid w:val="06D452AE"/>
    <w:rsid w:val="06ED5DE5"/>
    <w:rsid w:val="06FB1642"/>
    <w:rsid w:val="07222EF6"/>
    <w:rsid w:val="07334087"/>
    <w:rsid w:val="073E7A60"/>
    <w:rsid w:val="073F68A7"/>
    <w:rsid w:val="076855AA"/>
    <w:rsid w:val="07687047"/>
    <w:rsid w:val="078F23F3"/>
    <w:rsid w:val="07944F66"/>
    <w:rsid w:val="0799482C"/>
    <w:rsid w:val="07B84D65"/>
    <w:rsid w:val="07C6673D"/>
    <w:rsid w:val="07DD7607"/>
    <w:rsid w:val="07E514B6"/>
    <w:rsid w:val="07E57ADA"/>
    <w:rsid w:val="07ED0962"/>
    <w:rsid w:val="07F128ED"/>
    <w:rsid w:val="07F23BD4"/>
    <w:rsid w:val="07F71E1B"/>
    <w:rsid w:val="07F97DE3"/>
    <w:rsid w:val="081669F1"/>
    <w:rsid w:val="082505A1"/>
    <w:rsid w:val="08396785"/>
    <w:rsid w:val="085F0D9D"/>
    <w:rsid w:val="088502CB"/>
    <w:rsid w:val="088C3D80"/>
    <w:rsid w:val="08943297"/>
    <w:rsid w:val="08B4590D"/>
    <w:rsid w:val="08D835BC"/>
    <w:rsid w:val="08FF1D23"/>
    <w:rsid w:val="091949D7"/>
    <w:rsid w:val="09277CEE"/>
    <w:rsid w:val="09375414"/>
    <w:rsid w:val="093B01C2"/>
    <w:rsid w:val="095F6DE4"/>
    <w:rsid w:val="09792C05"/>
    <w:rsid w:val="09A87F05"/>
    <w:rsid w:val="09E84E47"/>
    <w:rsid w:val="09F472AB"/>
    <w:rsid w:val="09FB6593"/>
    <w:rsid w:val="0A2D36C0"/>
    <w:rsid w:val="0A3F0B20"/>
    <w:rsid w:val="0A8070D4"/>
    <w:rsid w:val="0A975F84"/>
    <w:rsid w:val="0AB63B53"/>
    <w:rsid w:val="0AE4074D"/>
    <w:rsid w:val="0AE82921"/>
    <w:rsid w:val="0AEC3308"/>
    <w:rsid w:val="0AEE2900"/>
    <w:rsid w:val="0AFF4A25"/>
    <w:rsid w:val="0B030187"/>
    <w:rsid w:val="0B120DDF"/>
    <w:rsid w:val="0B15273A"/>
    <w:rsid w:val="0B166E18"/>
    <w:rsid w:val="0B4736BF"/>
    <w:rsid w:val="0B473A71"/>
    <w:rsid w:val="0B4A4058"/>
    <w:rsid w:val="0B881A59"/>
    <w:rsid w:val="0B9D759F"/>
    <w:rsid w:val="0BB0771C"/>
    <w:rsid w:val="0BB16BCC"/>
    <w:rsid w:val="0BBE6D8D"/>
    <w:rsid w:val="0BC14AF3"/>
    <w:rsid w:val="0C160C51"/>
    <w:rsid w:val="0C30033F"/>
    <w:rsid w:val="0C34242E"/>
    <w:rsid w:val="0C372365"/>
    <w:rsid w:val="0C3E2402"/>
    <w:rsid w:val="0C5225E3"/>
    <w:rsid w:val="0C6E1231"/>
    <w:rsid w:val="0C7D0A04"/>
    <w:rsid w:val="0C9A3E17"/>
    <w:rsid w:val="0CB621B2"/>
    <w:rsid w:val="0CB86988"/>
    <w:rsid w:val="0CC46DE8"/>
    <w:rsid w:val="0CDD6333"/>
    <w:rsid w:val="0D0C5EC7"/>
    <w:rsid w:val="0D154390"/>
    <w:rsid w:val="0D343066"/>
    <w:rsid w:val="0D470454"/>
    <w:rsid w:val="0D553411"/>
    <w:rsid w:val="0D6932CE"/>
    <w:rsid w:val="0D6C35F6"/>
    <w:rsid w:val="0D72597D"/>
    <w:rsid w:val="0D911414"/>
    <w:rsid w:val="0DA74034"/>
    <w:rsid w:val="0DBB1FE0"/>
    <w:rsid w:val="0DC42FDA"/>
    <w:rsid w:val="0DC9445D"/>
    <w:rsid w:val="0DD40530"/>
    <w:rsid w:val="0E00432C"/>
    <w:rsid w:val="0E2A4C4C"/>
    <w:rsid w:val="0E441ABC"/>
    <w:rsid w:val="0E4436FA"/>
    <w:rsid w:val="0E550D2A"/>
    <w:rsid w:val="0E646C2D"/>
    <w:rsid w:val="0E6D434B"/>
    <w:rsid w:val="0E77333D"/>
    <w:rsid w:val="0E790E97"/>
    <w:rsid w:val="0E802A31"/>
    <w:rsid w:val="0E906BF5"/>
    <w:rsid w:val="0EA2610E"/>
    <w:rsid w:val="0EAE02E7"/>
    <w:rsid w:val="0EB16C31"/>
    <w:rsid w:val="0EB556DF"/>
    <w:rsid w:val="0F0F6DA3"/>
    <w:rsid w:val="0F2B0FC4"/>
    <w:rsid w:val="0F511EEF"/>
    <w:rsid w:val="0F566F1C"/>
    <w:rsid w:val="0F5965E2"/>
    <w:rsid w:val="0F7B581B"/>
    <w:rsid w:val="0F874471"/>
    <w:rsid w:val="0F933053"/>
    <w:rsid w:val="0FE21691"/>
    <w:rsid w:val="102346E7"/>
    <w:rsid w:val="102F7B27"/>
    <w:rsid w:val="10386FBB"/>
    <w:rsid w:val="10521F88"/>
    <w:rsid w:val="105264E1"/>
    <w:rsid w:val="10710739"/>
    <w:rsid w:val="10712B91"/>
    <w:rsid w:val="1099291B"/>
    <w:rsid w:val="10A31DD0"/>
    <w:rsid w:val="10A41306"/>
    <w:rsid w:val="10AD389D"/>
    <w:rsid w:val="10B078D3"/>
    <w:rsid w:val="10C036B9"/>
    <w:rsid w:val="10C21C2A"/>
    <w:rsid w:val="10DC2148"/>
    <w:rsid w:val="10F57079"/>
    <w:rsid w:val="11134CA9"/>
    <w:rsid w:val="114B1436"/>
    <w:rsid w:val="114E123C"/>
    <w:rsid w:val="1152612C"/>
    <w:rsid w:val="11572359"/>
    <w:rsid w:val="115E0444"/>
    <w:rsid w:val="1162107E"/>
    <w:rsid w:val="118849A3"/>
    <w:rsid w:val="11E9545A"/>
    <w:rsid w:val="11ED53EC"/>
    <w:rsid w:val="11F730D2"/>
    <w:rsid w:val="11FE005B"/>
    <w:rsid w:val="125D5471"/>
    <w:rsid w:val="12666A46"/>
    <w:rsid w:val="12731EDE"/>
    <w:rsid w:val="12795F27"/>
    <w:rsid w:val="127F414F"/>
    <w:rsid w:val="1285735D"/>
    <w:rsid w:val="12D1193A"/>
    <w:rsid w:val="12D537E4"/>
    <w:rsid w:val="12EE00FC"/>
    <w:rsid w:val="12F146F8"/>
    <w:rsid w:val="131E4479"/>
    <w:rsid w:val="13306D6B"/>
    <w:rsid w:val="13400448"/>
    <w:rsid w:val="134963E6"/>
    <w:rsid w:val="134B3BF3"/>
    <w:rsid w:val="134E4918"/>
    <w:rsid w:val="13545E1C"/>
    <w:rsid w:val="13553E43"/>
    <w:rsid w:val="136A0C89"/>
    <w:rsid w:val="1370253C"/>
    <w:rsid w:val="137206A5"/>
    <w:rsid w:val="13724785"/>
    <w:rsid w:val="139966A6"/>
    <w:rsid w:val="13A675D9"/>
    <w:rsid w:val="13AB723E"/>
    <w:rsid w:val="13B63846"/>
    <w:rsid w:val="13C805C8"/>
    <w:rsid w:val="13D420E0"/>
    <w:rsid w:val="13D60C47"/>
    <w:rsid w:val="13F81D81"/>
    <w:rsid w:val="1404758A"/>
    <w:rsid w:val="14294805"/>
    <w:rsid w:val="1439672E"/>
    <w:rsid w:val="143F6C9B"/>
    <w:rsid w:val="14450B1E"/>
    <w:rsid w:val="14595988"/>
    <w:rsid w:val="145B07AA"/>
    <w:rsid w:val="145D588B"/>
    <w:rsid w:val="14B25A9A"/>
    <w:rsid w:val="14C84FFA"/>
    <w:rsid w:val="14C94E01"/>
    <w:rsid w:val="14F86687"/>
    <w:rsid w:val="151D6F5E"/>
    <w:rsid w:val="15275D51"/>
    <w:rsid w:val="152F3C19"/>
    <w:rsid w:val="15571996"/>
    <w:rsid w:val="156514A3"/>
    <w:rsid w:val="156E2739"/>
    <w:rsid w:val="156F5E56"/>
    <w:rsid w:val="15850A3C"/>
    <w:rsid w:val="159B4DCE"/>
    <w:rsid w:val="15CD3E4B"/>
    <w:rsid w:val="15CD70AA"/>
    <w:rsid w:val="15EF097C"/>
    <w:rsid w:val="15F41773"/>
    <w:rsid w:val="16095A27"/>
    <w:rsid w:val="1619776C"/>
    <w:rsid w:val="162F75B8"/>
    <w:rsid w:val="16327B94"/>
    <w:rsid w:val="164212E4"/>
    <w:rsid w:val="164C2A46"/>
    <w:rsid w:val="164C7A56"/>
    <w:rsid w:val="165C2064"/>
    <w:rsid w:val="1660096D"/>
    <w:rsid w:val="16677FA7"/>
    <w:rsid w:val="1674027E"/>
    <w:rsid w:val="16AB0096"/>
    <w:rsid w:val="16AB4BAC"/>
    <w:rsid w:val="16B61F2A"/>
    <w:rsid w:val="16D2574D"/>
    <w:rsid w:val="16DB36DF"/>
    <w:rsid w:val="16E47EE5"/>
    <w:rsid w:val="16ED4ABC"/>
    <w:rsid w:val="17585A93"/>
    <w:rsid w:val="175B13B5"/>
    <w:rsid w:val="176B4B35"/>
    <w:rsid w:val="177436CA"/>
    <w:rsid w:val="17800E36"/>
    <w:rsid w:val="1788659D"/>
    <w:rsid w:val="179E3424"/>
    <w:rsid w:val="17A35875"/>
    <w:rsid w:val="17C96169"/>
    <w:rsid w:val="17E40EDD"/>
    <w:rsid w:val="17E67A2D"/>
    <w:rsid w:val="17E7130F"/>
    <w:rsid w:val="17F975FB"/>
    <w:rsid w:val="180806B6"/>
    <w:rsid w:val="181173D0"/>
    <w:rsid w:val="18437F97"/>
    <w:rsid w:val="185760A6"/>
    <w:rsid w:val="1887179E"/>
    <w:rsid w:val="188A434F"/>
    <w:rsid w:val="18A309CA"/>
    <w:rsid w:val="18D356F6"/>
    <w:rsid w:val="18EB66B4"/>
    <w:rsid w:val="18F95EDE"/>
    <w:rsid w:val="18FD118F"/>
    <w:rsid w:val="190405D5"/>
    <w:rsid w:val="190537D2"/>
    <w:rsid w:val="190577DF"/>
    <w:rsid w:val="1908343B"/>
    <w:rsid w:val="190C4F90"/>
    <w:rsid w:val="190D2FC4"/>
    <w:rsid w:val="19135334"/>
    <w:rsid w:val="191D32DE"/>
    <w:rsid w:val="194E2AB8"/>
    <w:rsid w:val="19523CA6"/>
    <w:rsid w:val="196340D7"/>
    <w:rsid w:val="19797B0F"/>
    <w:rsid w:val="197E55F5"/>
    <w:rsid w:val="198E0EBF"/>
    <w:rsid w:val="19966ABB"/>
    <w:rsid w:val="199E338B"/>
    <w:rsid w:val="19A31011"/>
    <w:rsid w:val="19A60E5C"/>
    <w:rsid w:val="19B15E79"/>
    <w:rsid w:val="19EC46F8"/>
    <w:rsid w:val="19FD3B25"/>
    <w:rsid w:val="1A090413"/>
    <w:rsid w:val="1A0C4944"/>
    <w:rsid w:val="1A1106CF"/>
    <w:rsid w:val="1A351739"/>
    <w:rsid w:val="1A3C02B1"/>
    <w:rsid w:val="1A4F75EC"/>
    <w:rsid w:val="1A502E7B"/>
    <w:rsid w:val="1A536E33"/>
    <w:rsid w:val="1A6F10DD"/>
    <w:rsid w:val="1A855D11"/>
    <w:rsid w:val="1A8C73F3"/>
    <w:rsid w:val="1A914DFF"/>
    <w:rsid w:val="1AB66404"/>
    <w:rsid w:val="1AB67D74"/>
    <w:rsid w:val="1AC52AAB"/>
    <w:rsid w:val="1AD863E6"/>
    <w:rsid w:val="1AF00A1E"/>
    <w:rsid w:val="1B084C42"/>
    <w:rsid w:val="1B0F20A8"/>
    <w:rsid w:val="1B130314"/>
    <w:rsid w:val="1B1937F0"/>
    <w:rsid w:val="1B2727E6"/>
    <w:rsid w:val="1B3F0096"/>
    <w:rsid w:val="1B470F92"/>
    <w:rsid w:val="1B5627D4"/>
    <w:rsid w:val="1B5D72A9"/>
    <w:rsid w:val="1B6063A3"/>
    <w:rsid w:val="1B622598"/>
    <w:rsid w:val="1B7302E8"/>
    <w:rsid w:val="1B8C7341"/>
    <w:rsid w:val="1B9032C7"/>
    <w:rsid w:val="1B946012"/>
    <w:rsid w:val="1B9A4B17"/>
    <w:rsid w:val="1BB10508"/>
    <w:rsid w:val="1BB52165"/>
    <w:rsid w:val="1BB920D8"/>
    <w:rsid w:val="1BBF70A3"/>
    <w:rsid w:val="1BDC1543"/>
    <w:rsid w:val="1BE212EE"/>
    <w:rsid w:val="1BEA79C6"/>
    <w:rsid w:val="1C20737B"/>
    <w:rsid w:val="1C2F4429"/>
    <w:rsid w:val="1C343C23"/>
    <w:rsid w:val="1C3E5993"/>
    <w:rsid w:val="1C4A454C"/>
    <w:rsid w:val="1C5E405C"/>
    <w:rsid w:val="1C792925"/>
    <w:rsid w:val="1C876F2E"/>
    <w:rsid w:val="1C8E6B0F"/>
    <w:rsid w:val="1C9A2A81"/>
    <w:rsid w:val="1CAE6344"/>
    <w:rsid w:val="1CC12D55"/>
    <w:rsid w:val="1CD85CAF"/>
    <w:rsid w:val="1D055C04"/>
    <w:rsid w:val="1D0A1B07"/>
    <w:rsid w:val="1D0E7B9A"/>
    <w:rsid w:val="1D137962"/>
    <w:rsid w:val="1D1B0053"/>
    <w:rsid w:val="1D1F69B7"/>
    <w:rsid w:val="1D30413F"/>
    <w:rsid w:val="1D3D47FA"/>
    <w:rsid w:val="1D446753"/>
    <w:rsid w:val="1D4B6B7B"/>
    <w:rsid w:val="1D4C0712"/>
    <w:rsid w:val="1D593A1A"/>
    <w:rsid w:val="1D5B4A92"/>
    <w:rsid w:val="1D6A1582"/>
    <w:rsid w:val="1D8434B4"/>
    <w:rsid w:val="1D9B3DE1"/>
    <w:rsid w:val="1DA4519A"/>
    <w:rsid w:val="1DA76FEB"/>
    <w:rsid w:val="1DB37DCE"/>
    <w:rsid w:val="1DC23B35"/>
    <w:rsid w:val="1DC84006"/>
    <w:rsid w:val="1DC854A2"/>
    <w:rsid w:val="1DDD3ACD"/>
    <w:rsid w:val="1E187FB4"/>
    <w:rsid w:val="1E281059"/>
    <w:rsid w:val="1E397A02"/>
    <w:rsid w:val="1E4156B6"/>
    <w:rsid w:val="1E4912D4"/>
    <w:rsid w:val="1E4D776E"/>
    <w:rsid w:val="1E5121CB"/>
    <w:rsid w:val="1E5A068A"/>
    <w:rsid w:val="1E6A55B0"/>
    <w:rsid w:val="1E7B4024"/>
    <w:rsid w:val="1E943722"/>
    <w:rsid w:val="1EA636D3"/>
    <w:rsid w:val="1EC57D32"/>
    <w:rsid w:val="1ED72302"/>
    <w:rsid w:val="1ED878F0"/>
    <w:rsid w:val="1EF32DA1"/>
    <w:rsid w:val="1EFD0429"/>
    <w:rsid w:val="1F164DEB"/>
    <w:rsid w:val="1F1C31A4"/>
    <w:rsid w:val="1F3918F6"/>
    <w:rsid w:val="1F6613CF"/>
    <w:rsid w:val="1F767AFA"/>
    <w:rsid w:val="1F7A47FB"/>
    <w:rsid w:val="1FBC4866"/>
    <w:rsid w:val="1FC61235"/>
    <w:rsid w:val="1FCE2B5B"/>
    <w:rsid w:val="1FD16767"/>
    <w:rsid w:val="1FDF265A"/>
    <w:rsid w:val="1FE75A6E"/>
    <w:rsid w:val="1FEF192C"/>
    <w:rsid w:val="1FF35BE4"/>
    <w:rsid w:val="1FFC2018"/>
    <w:rsid w:val="20024B13"/>
    <w:rsid w:val="20165EEA"/>
    <w:rsid w:val="201F0420"/>
    <w:rsid w:val="20440A31"/>
    <w:rsid w:val="20510375"/>
    <w:rsid w:val="20572366"/>
    <w:rsid w:val="206774E5"/>
    <w:rsid w:val="2069688B"/>
    <w:rsid w:val="20A701E7"/>
    <w:rsid w:val="20A86F8A"/>
    <w:rsid w:val="20AF4459"/>
    <w:rsid w:val="20B22068"/>
    <w:rsid w:val="20B718BB"/>
    <w:rsid w:val="20CC3A7D"/>
    <w:rsid w:val="20CE73F9"/>
    <w:rsid w:val="20CF6912"/>
    <w:rsid w:val="20E05A32"/>
    <w:rsid w:val="20FA3AD8"/>
    <w:rsid w:val="21075C5C"/>
    <w:rsid w:val="21134F01"/>
    <w:rsid w:val="21217942"/>
    <w:rsid w:val="213D1D7F"/>
    <w:rsid w:val="21467CC1"/>
    <w:rsid w:val="216E2D36"/>
    <w:rsid w:val="217C7A45"/>
    <w:rsid w:val="218A187E"/>
    <w:rsid w:val="218E3ABF"/>
    <w:rsid w:val="220438E8"/>
    <w:rsid w:val="22137775"/>
    <w:rsid w:val="2239136F"/>
    <w:rsid w:val="2249400A"/>
    <w:rsid w:val="2253472C"/>
    <w:rsid w:val="22830A74"/>
    <w:rsid w:val="228E7669"/>
    <w:rsid w:val="22A255F2"/>
    <w:rsid w:val="22CF1572"/>
    <w:rsid w:val="22CF506E"/>
    <w:rsid w:val="22D1754B"/>
    <w:rsid w:val="22D74C2B"/>
    <w:rsid w:val="22EB153B"/>
    <w:rsid w:val="231416E9"/>
    <w:rsid w:val="23334E90"/>
    <w:rsid w:val="233E0AE3"/>
    <w:rsid w:val="233F40B6"/>
    <w:rsid w:val="235413D1"/>
    <w:rsid w:val="23582B57"/>
    <w:rsid w:val="23626857"/>
    <w:rsid w:val="237F678E"/>
    <w:rsid w:val="23834E6A"/>
    <w:rsid w:val="238C0D71"/>
    <w:rsid w:val="23901466"/>
    <w:rsid w:val="239B1963"/>
    <w:rsid w:val="23BB747D"/>
    <w:rsid w:val="23C404F4"/>
    <w:rsid w:val="23EE28E6"/>
    <w:rsid w:val="23FE1A8C"/>
    <w:rsid w:val="240178E6"/>
    <w:rsid w:val="2407621A"/>
    <w:rsid w:val="240B385B"/>
    <w:rsid w:val="24167389"/>
    <w:rsid w:val="242A7A60"/>
    <w:rsid w:val="243C4C7B"/>
    <w:rsid w:val="24527E18"/>
    <w:rsid w:val="245844EA"/>
    <w:rsid w:val="2473603C"/>
    <w:rsid w:val="24843AB7"/>
    <w:rsid w:val="24A747B8"/>
    <w:rsid w:val="24B535C5"/>
    <w:rsid w:val="24BD4A71"/>
    <w:rsid w:val="24E21F17"/>
    <w:rsid w:val="24E4323E"/>
    <w:rsid w:val="24F80E5C"/>
    <w:rsid w:val="250545C2"/>
    <w:rsid w:val="25442204"/>
    <w:rsid w:val="255175A5"/>
    <w:rsid w:val="25642121"/>
    <w:rsid w:val="25784396"/>
    <w:rsid w:val="258643B9"/>
    <w:rsid w:val="2596536C"/>
    <w:rsid w:val="25A67280"/>
    <w:rsid w:val="25A8588D"/>
    <w:rsid w:val="25CD5D4B"/>
    <w:rsid w:val="25E072EE"/>
    <w:rsid w:val="25E1091F"/>
    <w:rsid w:val="262B0053"/>
    <w:rsid w:val="263B0924"/>
    <w:rsid w:val="265E7327"/>
    <w:rsid w:val="26686774"/>
    <w:rsid w:val="266F32D7"/>
    <w:rsid w:val="26855095"/>
    <w:rsid w:val="2691700E"/>
    <w:rsid w:val="269B7B17"/>
    <w:rsid w:val="26A95133"/>
    <w:rsid w:val="26B84E40"/>
    <w:rsid w:val="26E46902"/>
    <w:rsid w:val="26F1177A"/>
    <w:rsid w:val="26F4638F"/>
    <w:rsid w:val="27033511"/>
    <w:rsid w:val="2708175F"/>
    <w:rsid w:val="271C721F"/>
    <w:rsid w:val="27761292"/>
    <w:rsid w:val="2780547B"/>
    <w:rsid w:val="278C5F32"/>
    <w:rsid w:val="27947805"/>
    <w:rsid w:val="27A316BD"/>
    <w:rsid w:val="27D92E4C"/>
    <w:rsid w:val="27E43BCB"/>
    <w:rsid w:val="27EC315E"/>
    <w:rsid w:val="28047339"/>
    <w:rsid w:val="28422FEA"/>
    <w:rsid w:val="28482A59"/>
    <w:rsid w:val="285133DD"/>
    <w:rsid w:val="286C12C9"/>
    <w:rsid w:val="286D64EF"/>
    <w:rsid w:val="287014F6"/>
    <w:rsid w:val="28844031"/>
    <w:rsid w:val="28863DA5"/>
    <w:rsid w:val="28932390"/>
    <w:rsid w:val="289A23A6"/>
    <w:rsid w:val="28A91F2B"/>
    <w:rsid w:val="28B0377B"/>
    <w:rsid w:val="28CE1800"/>
    <w:rsid w:val="28D60C02"/>
    <w:rsid w:val="28EB1762"/>
    <w:rsid w:val="29032D04"/>
    <w:rsid w:val="29053D41"/>
    <w:rsid w:val="292A0CD4"/>
    <w:rsid w:val="295B27A6"/>
    <w:rsid w:val="296709C7"/>
    <w:rsid w:val="29780F4B"/>
    <w:rsid w:val="298E66E1"/>
    <w:rsid w:val="298E7271"/>
    <w:rsid w:val="29967B6F"/>
    <w:rsid w:val="29A07B8E"/>
    <w:rsid w:val="29B07D9B"/>
    <w:rsid w:val="29C039B9"/>
    <w:rsid w:val="29D458B9"/>
    <w:rsid w:val="29E4371A"/>
    <w:rsid w:val="2A01067E"/>
    <w:rsid w:val="2A193584"/>
    <w:rsid w:val="2A1A5FBD"/>
    <w:rsid w:val="2A1D7775"/>
    <w:rsid w:val="2A552AB2"/>
    <w:rsid w:val="2A636A5D"/>
    <w:rsid w:val="2A6E592B"/>
    <w:rsid w:val="2A800899"/>
    <w:rsid w:val="2A817229"/>
    <w:rsid w:val="2A9E1D95"/>
    <w:rsid w:val="2AA95814"/>
    <w:rsid w:val="2AC2554F"/>
    <w:rsid w:val="2AD66A61"/>
    <w:rsid w:val="2AD969D3"/>
    <w:rsid w:val="2AE94F44"/>
    <w:rsid w:val="2B0D7FCC"/>
    <w:rsid w:val="2B0E075D"/>
    <w:rsid w:val="2B2C77D6"/>
    <w:rsid w:val="2B370B1C"/>
    <w:rsid w:val="2B441C7C"/>
    <w:rsid w:val="2B4E3843"/>
    <w:rsid w:val="2B697F63"/>
    <w:rsid w:val="2B7C6D48"/>
    <w:rsid w:val="2BBC700F"/>
    <w:rsid w:val="2BDC51E6"/>
    <w:rsid w:val="2BE23208"/>
    <w:rsid w:val="2BFF09B0"/>
    <w:rsid w:val="2C017196"/>
    <w:rsid w:val="2C083AC9"/>
    <w:rsid w:val="2C147F18"/>
    <w:rsid w:val="2C1771EA"/>
    <w:rsid w:val="2C1A3BA3"/>
    <w:rsid w:val="2C1B1BEF"/>
    <w:rsid w:val="2C1D1D86"/>
    <w:rsid w:val="2C364D8D"/>
    <w:rsid w:val="2C3A4159"/>
    <w:rsid w:val="2C6263BD"/>
    <w:rsid w:val="2C63613C"/>
    <w:rsid w:val="2C6A5F64"/>
    <w:rsid w:val="2C724DF3"/>
    <w:rsid w:val="2C915554"/>
    <w:rsid w:val="2C915CB7"/>
    <w:rsid w:val="2CB40976"/>
    <w:rsid w:val="2CE843DB"/>
    <w:rsid w:val="2D050937"/>
    <w:rsid w:val="2D1C7FF0"/>
    <w:rsid w:val="2D2E41FF"/>
    <w:rsid w:val="2D2F79B8"/>
    <w:rsid w:val="2D320B84"/>
    <w:rsid w:val="2D3D22E1"/>
    <w:rsid w:val="2D3F0F3B"/>
    <w:rsid w:val="2D4D0BE6"/>
    <w:rsid w:val="2D527927"/>
    <w:rsid w:val="2D6326C0"/>
    <w:rsid w:val="2D6E4295"/>
    <w:rsid w:val="2D780193"/>
    <w:rsid w:val="2D901A1C"/>
    <w:rsid w:val="2D960E08"/>
    <w:rsid w:val="2D9A1CFF"/>
    <w:rsid w:val="2DC7536D"/>
    <w:rsid w:val="2DD46346"/>
    <w:rsid w:val="2DEE6A8E"/>
    <w:rsid w:val="2DEF45F9"/>
    <w:rsid w:val="2E0B71E3"/>
    <w:rsid w:val="2E38252C"/>
    <w:rsid w:val="2E492C05"/>
    <w:rsid w:val="2E4C7C2E"/>
    <w:rsid w:val="2E573403"/>
    <w:rsid w:val="2E6005A8"/>
    <w:rsid w:val="2E7E46F0"/>
    <w:rsid w:val="2E9D7790"/>
    <w:rsid w:val="2EBF7CB1"/>
    <w:rsid w:val="2ECE2353"/>
    <w:rsid w:val="2ED424E1"/>
    <w:rsid w:val="2ED66E54"/>
    <w:rsid w:val="2EDD6434"/>
    <w:rsid w:val="2F0E09FA"/>
    <w:rsid w:val="2F173457"/>
    <w:rsid w:val="2F373B30"/>
    <w:rsid w:val="2F49136F"/>
    <w:rsid w:val="2F5C7B0B"/>
    <w:rsid w:val="2F997ED4"/>
    <w:rsid w:val="2FA5250C"/>
    <w:rsid w:val="2FB81127"/>
    <w:rsid w:val="2FC2702D"/>
    <w:rsid w:val="2FD517C8"/>
    <w:rsid w:val="2FD90032"/>
    <w:rsid w:val="2FEF557D"/>
    <w:rsid w:val="2FF55B7C"/>
    <w:rsid w:val="2FFE7798"/>
    <w:rsid w:val="30000CED"/>
    <w:rsid w:val="30152F93"/>
    <w:rsid w:val="30195A6F"/>
    <w:rsid w:val="30245132"/>
    <w:rsid w:val="30247B93"/>
    <w:rsid w:val="302E0833"/>
    <w:rsid w:val="30477527"/>
    <w:rsid w:val="30554E67"/>
    <w:rsid w:val="305603D6"/>
    <w:rsid w:val="306C651D"/>
    <w:rsid w:val="30996E9B"/>
    <w:rsid w:val="309F65B9"/>
    <w:rsid w:val="30C668C7"/>
    <w:rsid w:val="30CC4E4A"/>
    <w:rsid w:val="30D05C52"/>
    <w:rsid w:val="30DF5E20"/>
    <w:rsid w:val="312122C6"/>
    <w:rsid w:val="31446D97"/>
    <w:rsid w:val="316507FE"/>
    <w:rsid w:val="316C5ED3"/>
    <w:rsid w:val="317D7E23"/>
    <w:rsid w:val="318530F9"/>
    <w:rsid w:val="31AE4F18"/>
    <w:rsid w:val="31EE2BD5"/>
    <w:rsid w:val="32507AD4"/>
    <w:rsid w:val="3256087D"/>
    <w:rsid w:val="325B65BA"/>
    <w:rsid w:val="32850128"/>
    <w:rsid w:val="3292480B"/>
    <w:rsid w:val="32932D28"/>
    <w:rsid w:val="32A613D8"/>
    <w:rsid w:val="32A71754"/>
    <w:rsid w:val="32BC76C1"/>
    <w:rsid w:val="32FA03AE"/>
    <w:rsid w:val="33134422"/>
    <w:rsid w:val="332B4A58"/>
    <w:rsid w:val="333D5E04"/>
    <w:rsid w:val="334D1BAE"/>
    <w:rsid w:val="33996954"/>
    <w:rsid w:val="33A92328"/>
    <w:rsid w:val="33B34973"/>
    <w:rsid w:val="33D65ECC"/>
    <w:rsid w:val="33E46A19"/>
    <w:rsid w:val="33EC649E"/>
    <w:rsid w:val="33EF2C75"/>
    <w:rsid w:val="33F05942"/>
    <w:rsid w:val="33F50DAB"/>
    <w:rsid w:val="340232E0"/>
    <w:rsid w:val="343F33D3"/>
    <w:rsid w:val="34422160"/>
    <w:rsid w:val="34485B8D"/>
    <w:rsid w:val="344865A0"/>
    <w:rsid w:val="34595824"/>
    <w:rsid w:val="346A280B"/>
    <w:rsid w:val="347E4184"/>
    <w:rsid w:val="34860D6A"/>
    <w:rsid w:val="34863EE9"/>
    <w:rsid w:val="348671F2"/>
    <w:rsid w:val="34A52EE5"/>
    <w:rsid w:val="34AF0AC8"/>
    <w:rsid w:val="34B146C5"/>
    <w:rsid w:val="34BE6E6E"/>
    <w:rsid w:val="34C26557"/>
    <w:rsid w:val="34D30830"/>
    <w:rsid w:val="34D86900"/>
    <w:rsid w:val="34EE786A"/>
    <w:rsid w:val="350866A9"/>
    <w:rsid w:val="350F5FE5"/>
    <w:rsid w:val="351654A5"/>
    <w:rsid w:val="3529550F"/>
    <w:rsid w:val="35356148"/>
    <w:rsid w:val="35397FB0"/>
    <w:rsid w:val="353B2CD6"/>
    <w:rsid w:val="354E15DF"/>
    <w:rsid w:val="354E2771"/>
    <w:rsid w:val="355B09F8"/>
    <w:rsid w:val="357A0D54"/>
    <w:rsid w:val="357C63F2"/>
    <w:rsid w:val="35891FEA"/>
    <w:rsid w:val="35A34EBC"/>
    <w:rsid w:val="35B14CB3"/>
    <w:rsid w:val="35D513DC"/>
    <w:rsid w:val="3601334B"/>
    <w:rsid w:val="360E7FCD"/>
    <w:rsid w:val="360F0662"/>
    <w:rsid w:val="36121D86"/>
    <w:rsid w:val="362847E0"/>
    <w:rsid w:val="362A7BCD"/>
    <w:rsid w:val="363E4A5A"/>
    <w:rsid w:val="364F248F"/>
    <w:rsid w:val="365157A8"/>
    <w:rsid w:val="36681556"/>
    <w:rsid w:val="366A7DF5"/>
    <w:rsid w:val="368A3A7C"/>
    <w:rsid w:val="368F5C6F"/>
    <w:rsid w:val="36C8517F"/>
    <w:rsid w:val="36CD6C3C"/>
    <w:rsid w:val="36D12124"/>
    <w:rsid w:val="36ED1378"/>
    <w:rsid w:val="36F66D66"/>
    <w:rsid w:val="370F72D9"/>
    <w:rsid w:val="371B53AC"/>
    <w:rsid w:val="37311A5B"/>
    <w:rsid w:val="37424409"/>
    <w:rsid w:val="375B25C2"/>
    <w:rsid w:val="377D507F"/>
    <w:rsid w:val="37A74716"/>
    <w:rsid w:val="37D11071"/>
    <w:rsid w:val="37D308AB"/>
    <w:rsid w:val="37DF7B4C"/>
    <w:rsid w:val="37E066E7"/>
    <w:rsid w:val="37E4220C"/>
    <w:rsid w:val="37FB0A1C"/>
    <w:rsid w:val="38005ABB"/>
    <w:rsid w:val="380A7A4D"/>
    <w:rsid w:val="383420C2"/>
    <w:rsid w:val="38492792"/>
    <w:rsid w:val="387277B8"/>
    <w:rsid w:val="388524F5"/>
    <w:rsid w:val="388C2CFD"/>
    <w:rsid w:val="38C61F93"/>
    <w:rsid w:val="38E2672D"/>
    <w:rsid w:val="38E847D7"/>
    <w:rsid w:val="3904005C"/>
    <w:rsid w:val="39076724"/>
    <w:rsid w:val="39152326"/>
    <w:rsid w:val="39311B87"/>
    <w:rsid w:val="394810E8"/>
    <w:rsid w:val="394856A1"/>
    <w:rsid w:val="39927872"/>
    <w:rsid w:val="39A61EC3"/>
    <w:rsid w:val="39AF6C59"/>
    <w:rsid w:val="39C858B6"/>
    <w:rsid w:val="39DF3FD0"/>
    <w:rsid w:val="39E977DE"/>
    <w:rsid w:val="39EA5A15"/>
    <w:rsid w:val="39EA7AE8"/>
    <w:rsid w:val="39EE088B"/>
    <w:rsid w:val="39FF52D7"/>
    <w:rsid w:val="3A1A0376"/>
    <w:rsid w:val="3A1A7349"/>
    <w:rsid w:val="3A311B77"/>
    <w:rsid w:val="3A5203C6"/>
    <w:rsid w:val="3A5941F5"/>
    <w:rsid w:val="3A680535"/>
    <w:rsid w:val="3A733DD1"/>
    <w:rsid w:val="3A7760DB"/>
    <w:rsid w:val="3A813059"/>
    <w:rsid w:val="3AA4508E"/>
    <w:rsid w:val="3ADC00BC"/>
    <w:rsid w:val="3ADE138A"/>
    <w:rsid w:val="3AE03D67"/>
    <w:rsid w:val="3AEB7732"/>
    <w:rsid w:val="3B0F447F"/>
    <w:rsid w:val="3B107A6F"/>
    <w:rsid w:val="3B1B08ED"/>
    <w:rsid w:val="3B23548F"/>
    <w:rsid w:val="3B4156D0"/>
    <w:rsid w:val="3B8419E8"/>
    <w:rsid w:val="3BB34E7F"/>
    <w:rsid w:val="3BD54B3D"/>
    <w:rsid w:val="3BF05E2E"/>
    <w:rsid w:val="3C01029A"/>
    <w:rsid w:val="3C02392C"/>
    <w:rsid w:val="3C0315B0"/>
    <w:rsid w:val="3C1347CB"/>
    <w:rsid w:val="3C17350B"/>
    <w:rsid w:val="3C25218A"/>
    <w:rsid w:val="3C2A6342"/>
    <w:rsid w:val="3C521018"/>
    <w:rsid w:val="3C5838A9"/>
    <w:rsid w:val="3C7035D7"/>
    <w:rsid w:val="3C7B2E6F"/>
    <w:rsid w:val="3C897551"/>
    <w:rsid w:val="3C965191"/>
    <w:rsid w:val="3CA86C04"/>
    <w:rsid w:val="3CA87900"/>
    <w:rsid w:val="3CDB0A1A"/>
    <w:rsid w:val="3CDD5F39"/>
    <w:rsid w:val="3CF950D5"/>
    <w:rsid w:val="3CFD20E6"/>
    <w:rsid w:val="3D037708"/>
    <w:rsid w:val="3D0D6277"/>
    <w:rsid w:val="3D1D594E"/>
    <w:rsid w:val="3D231224"/>
    <w:rsid w:val="3D2B640C"/>
    <w:rsid w:val="3D333A76"/>
    <w:rsid w:val="3D3E685F"/>
    <w:rsid w:val="3D4D5D85"/>
    <w:rsid w:val="3D4F6F04"/>
    <w:rsid w:val="3D624B73"/>
    <w:rsid w:val="3D767A1F"/>
    <w:rsid w:val="3D793D8D"/>
    <w:rsid w:val="3D7F13A5"/>
    <w:rsid w:val="3D8079B1"/>
    <w:rsid w:val="3D812D70"/>
    <w:rsid w:val="3D99708A"/>
    <w:rsid w:val="3D9E7047"/>
    <w:rsid w:val="3DA63817"/>
    <w:rsid w:val="3DCF4ACE"/>
    <w:rsid w:val="3DD71DC7"/>
    <w:rsid w:val="3DE416E1"/>
    <w:rsid w:val="3DE450F4"/>
    <w:rsid w:val="3DEB2B85"/>
    <w:rsid w:val="3DFD0D13"/>
    <w:rsid w:val="3E0435DD"/>
    <w:rsid w:val="3E1A466E"/>
    <w:rsid w:val="3E1C7DA7"/>
    <w:rsid w:val="3E1D7755"/>
    <w:rsid w:val="3E303B12"/>
    <w:rsid w:val="3E354C98"/>
    <w:rsid w:val="3E354ECE"/>
    <w:rsid w:val="3E39244C"/>
    <w:rsid w:val="3E463963"/>
    <w:rsid w:val="3E5C4DED"/>
    <w:rsid w:val="3E7403AE"/>
    <w:rsid w:val="3E7F10A4"/>
    <w:rsid w:val="3E8F74DA"/>
    <w:rsid w:val="3ECE4619"/>
    <w:rsid w:val="3ECE5FDD"/>
    <w:rsid w:val="3EDB5116"/>
    <w:rsid w:val="3EDC0C6A"/>
    <w:rsid w:val="3EE673DB"/>
    <w:rsid w:val="3F113456"/>
    <w:rsid w:val="3F284391"/>
    <w:rsid w:val="3F2B5012"/>
    <w:rsid w:val="3F3916C8"/>
    <w:rsid w:val="3F5833D3"/>
    <w:rsid w:val="3F6B0652"/>
    <w:rsid w:val="3F6F2454"/>
    <w:rsid w:val="3F783CB3"/>
    <w:rsid w:val="3F7B7D79"/>
    <w:rsid w:val="3F996C34"/>
    <w:rsid w:val="3FC76ED3"/>
    <w:rsid w:val="3FD716B2"/>
    <w:rsid w:val="3FFA30F5"/>
    <w:rsid w:val="40007123"/>
    <w:rsid w:val="40021B3B"/>
    <w:rsid w:val="40120088"/>
    <w:rsid w:val="40237E11"/>
    <w:rsid w:val="402E5A5C"/>
    <w:rsid w:val="40332C66"/>
    <w:rsid w:val="4039311D"/>
    <w:rsid w:val="40473B4B"/>
    <w:rsid w:val="40476BFA"/>
    <w:rsid w:val="40652F7D"/>
    <w:rsid w:val="40715FDF"/>
    <w:rsid w:val="40805F52"/>
    <w:rsid w:val="40A05CA3"/>
    <w:rsid w:val="40D65224"/>
    <w:rsid w:val="40DC76DD"/>
    <w:rsid w:val="40E76AA3"/>
    <w:rsid w:val="40FC2AFC"/>
    <w:rsid w:val="40FD0B41"/>
    <w:rsid w:val="41146156"/>
    <w:rsid w:val="41332F23"/>
    <w:rsid w:val="41427255"/>
    <w:rsid w:val="414A33C1"/>
    <w:rsid w:val="419A049F"/>
    <w:rsid w:val="419D2B42"/>
    <w:rsid w:val="41AF17D7"/>
    <w:rsid w:val="41BB0C71"/>
    <w:rsid w:val="41C464E7"/>
    <w:rsid w:val="41EC228A"/>
    <w:rsid w:val="420323DA"/>
    <w:rsid w:val="42112795"/>
    <w:rsid w:val="4217238B"/>
    <w:rsid w:val="422E74AE"/>
    <w:rsid w:val="42356E37"/>
    <w:rsid w:val="4238559B"/>
    <w:rsid w:val="42393F96"/>
    <w:rsid w:val="424D3B2C"/>
    <w:rsid w:val="42652C37"/>
    <w:rsid w:val="426660F1"/>
    <w:rsid w:val="426B519B"/>
    <w:rsid w:val="426F7AC7"/>
    <w:rsid w:val="429F314A"/>
    <w:rsid w:val="42AB1589"/>
    <w:rsid w:val="42B164F0"/>
    <w:rsid w:val="42C96475"/>
    <w:rsid w:val="42D912F1"/>
    <w:rsid w:val="431F69FC"/>
    <w:rsid w:val="433B155B"/>
    <w:rsid w:val="433E2A23"/>
    <w:rsid w:val="435962A6"/>
    <w:rsid w:val="4386034C"/>
    <w:rsid w:val="439B4B04"/>
    <w:rsid w:val="43B24CF5"/>
    <w:rsid w:val="43D35339"/>
    <w:rsid w:val="43E15FE5"/>
    <w:rsid w:val="43E9111A"/>
    <w:rsid w:val="43FE2E37"/>
    <w:rsid w:val="441659F8"/>
    <w:rsid w:val="44223290"/>
    <w:rsid w:val="44316D1D"/>
    <w:rsid w:val="446F4342"/>
    <w:rsid w:val="44716487"/>
    <w:rsid w:val="44781C92"/>
    <w:rsid w:val="44A1626C"/>
    <w:rsid w:val="44AF50CC"/>
    <w:rsid w:val="44B570FB"/>
    <w:rsid w:val="44C91BED"/>
    <w:rsid w:val="44D71023"/>
    <w:rsid w:val="44FF35F6"/>
    <w:rsid w:val="45352A44"/>
    <w:rsid w:val="454902F4"/>
    <w:rsid w:val="454B3B0C"/>
    <w:rsid w:val="454D7C62"/>
    <w:rsid w:val="45703C17"/>
    <w:rsid w:val="457D101D"/>
    <w:rsid w:val="45891430"/>
    <w:rsid w:val="459754BA"/>
    <w:rsid w:val="45D24188"/>
    <w:rsid w:val="45ED7C15"/>
    <w:rsid w:val="460E39E1"/>
    <w:rsid w:val="460F3D99"/>
    <w:rsid w:val="46206776"/>
    <w:rsid w:val="4631501E"/>
    <w:rsid w:val="463F0174"/>
    <w:rsid w:val="46592C88"/>
    <w:rsid w:val="465E4B16"/>
    <w:rsid w:val="46A10F19"/>
    <w:rsid w:val="46A514DB"/>
    <w:rsid w:val="46AC6981"/>
    <w:rsid w:val="46E43E97"/>
    <w:rsid w:val="46EC4F8E"/>
    <w:rsid w:val="46F14834"/>
    <w:rsid w:val="46F844AD"/>
    <w:rsid w:val="47006E5A"/>
    <w:rsid w:val="470E784C"/>
    <w:rsid w:val="471301D5"/>
    <w:rsid w:val="471344C1"/>
    <w:rsid w:val="471E2B1F"/>
    <w:rsid w:val="473234ED"/>
    <w:rsid w:val="47367FD1"/>
    <w:rsid w:val="47376C28"/>
    <w:rsid w:val="473D5FE3"/>
    <w:rsid w:val="47700398"/>
    <w:rsid w:val="47711D1B"/>
    <w:rsid w:val="47766EFA"/>
    <w:rsid w:val="477B30AA"/>
    <w:rsid w:val="47CD5FD5"/>
    <w:rsid w:val="48091636"/>
    <w:rsid w:val="480B146D"/>
    <w:rsid w:val="482A0EA6"/>
    <w:rsid w:val="485A4F1B"/>
    <w:rsid w:val="487F65C7"/>
    <w:rsid w:val="48AE4F3B"/>
    <w:rsid w:val="48C41305"/>
    <w:rsid w:val="48D515AF"/>
    <w:rsid w:val="48DA3A02"/>
    <w:rsid w:val="48E50D23"/>
    <w:rsid w:val="48EB4B99"/>
    <w:rsid w:val="490C71A3"/>
    <w:rsid w:val="490C7EA0"/>
    <w:rsid w:val="49287BC3"/>
    <w:rsid w:val="493F1FB1"/>
    <w:rsid w:val="493F3374"/>
    <w:rsid w:val="497B2543"/>
    <w:rsid w:val="49944C89"/>
    <w:rsid w:val="49A10B57"/>
    <w:rsid w:val="49B4297B"/>
    <w:rsid w:val="49B97426"/>
    <w:rsid w:val="49D22EBB"/>
    <w:rsid w:val="49E13231"/>
    <w:rsid w:val="49E62594"/>
    <w:rsid w:val="49F2325E"/>
    <w:rsid w:val="4A070F07"/>
    <w:rsid w:val="4A0C0273"/>
    <w:rsid w:val="4A2C72D8"/>
    <w:rsid w:val="4A2D7166"/>
    <w:rsid w:val="4A456EF7"/>
    <w:rsid w:val="4A891607"/>
    <w:rsid w:val="4A8D5CAB"/>
    <w:rsid w:val="4A996B02"/>
    <w:rsid w:val="4AA25B16"/>
    <w:rsid w:val="4AAE4326"/>
    <w:rsid w:val="4ADE749B"/>
    <w:rsid w:val="4AE03D4E"/>
    <w:rsid w:val="4B087A64"/>
    <w:rsid w:val="4B146B8C"/>
    <w:rsid w:val="4B356480"/>
    <w:rsid w:val="4B3C2458"/>
    <w:rsid w:val="4B56741E"/>
    <w:rsid w:val="4B6E6876"/>
    <w:rsid w:val="4B8301D1"/>
    <w:rsid w:val="4B9C2B9C"/>
    <w:rsid w:val="4BA44EBB"/>
    <w:rsid w:val="4BCC7BDF"/>
    <w:rsid w:val="4BDE6EE5"/>
    <w:rsid w:val="4BF31AEA"/>
    <w:rsid w:val="4C0423D8"/>
    <w:rsid w:val="4C0E59AC"/>
    <w:rsid w:val="4C133D69"/>
    <w:rsid w:val="4C22171A"/>
    <w:rsid w:val="4C337D43"/>
    <w:rsid w:val="4C375BC3"/>
    <w:rsid w:val="4C4A0ECE"/>
    <w:rsid w:val="4C6F2808"/>
    <w:rsid w:val="4C98385D"/>
    <w:rsid w:val="4CBB726B"/>
    <w:rsid w:val="4CE65574"/>
    <w:rsid w:val="4CEB5067"/>
    <w:rsid w:val="4CF80DE5"/>
    <w:rsid w:val="4D290A4C"/>
    <w:rsid w:val="4D2A6132"/>
    <w:rsid w:val="4D3756DE"/>
    <w:rsid w:val="4D3C7286"/>
    <w:rsid w:val="4D4104F1"/>
    <w:rsid w:val="4D585546"/>
    <w:rsid w:val="4D5911A3"/>
    <w:rsid w:val="4D6412E6"/>
    <w:rsid w:val="4D955653"/>
    <w:rsid w:val="4D9A7433"/>
    <w:rsid w:val="4DA252B3"/>
    <w:rsid w:val="4DB92781"/>
    <w:rsid w:val="4DBB3D45"/>
    <w:rsid w:val="4DC50D0D"/>
    <w:rsid w:val="4DCA7C4A"/>
    <w:rsid w:val="4DDF4EC6"/>
    <w:rsid w:val="4DF02C2E"/>
    <w:rsid w:val="4DF256EB"/>
    <w:rsid w:val="4E0B7BF8"/>
    <w:rsid w:val="4E1A292D"/>
    <w:rsid w:val="4E21737F"/>
    <w:rsid w:val="4E29419C"/>
    <w:rsid w:val="4E3D0E21"/>
    <w:rsid w:val="4E3D1876"/>
    <w:rsid w:val="4E6D33B6"/>
    <w:rsid w:val="4E8173EB"/>
    <w:rsid w:val="4E8A68A3"/>
    <w:rsid w:val="4E8E3729"/>
    <w:rsid w:val="4E9F1629"/>
    <w:rsid w:val="4EB76C66"/>
    <w:rsid w:val="4ED75E7F"/>
    <w:rsid w:val="4F044FBB"/>
    <w:rsid w:val="4F05185B"/>
    <w:rsid w:val="4F0B204D"/>
    <w:rsid w:val="4F1B73A2"/>
    <w:rsid w:val="4F3D05DD"/>
    <w:rsid w:val="4F45669F"/>
    <w:rsid w:val="4F476CF4"/>
    <w:rsid w:val="4F6374B2"/>
    <w:rsid w:val="4F7A67CC"/>
    <w:rsid w:val="4F835E47"/>
    <w:rsid w:val="4F954BE1"/>
    <w:rsid w:val="4F985456"/>
    <w:rsid w:val="4FA431E8"/>
    <w:rsid w:val="4FAC3783"/>
    <w:rsid w:val="4FBA6A9F"/>
    <w:rsid w:val="4FD33EB8"/>
    <w:rsid w:val="4FE243A1"/>
    <w:rsid w:val="4FE9103E"/>
    <w:rsid w:val="4FF61D5A"/>
    <w:rsid w:val="4FFA5DD6"/>
    <w:rsid w:val="50052797"/>
    <w:rsid w:val="501A09D7"/>
    <w:rsid w:val="502358D8"/>
    <w:rsid w:val="50323A78"/>
    <w:rsid w:val="503E401C"/>
    <w:rsid w:val="50764D1E"/>
    <w:rsid w:val="507E64F5"/>
    <w:rsid w:val="508C042B"/>
    <w:rsid w:val="50915DAD"/>
    <w:rsid w:val="509742C6"/>
    <w:rsid w:val="50AC4296"/>
    <w:rsid w:val="50EA2082"/>
    <w:rsid w:val="50F654A3"/>
    <w:rsid w:val="50FE1448"/>
    <w:rsid w:val="51037BB7"/>
    <w:rsid w:val="51242CE3"/>
    <w:rsid w:val="51264ABB"/>
    <w:rsid w:val="513E7D7B"/>
    <w:rsid w:val="51481089"/>
    <w:rsid w:val="514A70CD"/>
    <w:rsid w:val="51573ED7"/>
    <w:rsid w:val="517112AB"/>
    <w:rsid w:val="51806DFD"/>
    <w:rsid w:val="5187632D"/>
    <w:rsid w:val="519F549D"/>
    <w:rsid w:val="51A43D9A"/>
    <w:rsid w:val="51B64A79"/>
    <w:rsid w:val="51BF7EC8"/>
    <w:rsid w:val="51C10215"/>
    <w:rsid w:val="51C3092C"/>
    <w:rsid w:val="51CA1E47"/>
    <w:rsid w:val="51CE4FAF"/>
    <w:rsid w:val="51DA63B9"/>
    <w:rsid w:val="51DE6A37"/>
    <w:rsid w:val="51F17356"/>
    <w:rsid w:val="521A1FCA"/>
    <w:rsid w:val="52423EE4"/>
    <w:rsid w:val="526A017D"/>
    <w:rsid w:val="526E399C"/>
    <w:rsid w:val="526E7A0D"/>
    <w:rsid w:val="5272350A"/>
    <w:rsid w:val="52D20916"/>
    <w:rsid w:val="52D25043"/>
    <w:rsid w:val="52ED067E"/>
    <w:rsid w:val="52EF18CD"/>
    <w:rsid w:val="530D36DB"/>
    <w:rsid w:val="531D2D6C"/>
    <w:rsid w:val="532B2603"/>
    <w:rsid w:val="532B5CCD"/>
    <w:rsid w:val="53623A53"/>
    <w:rsid w:val="537A29B9"/>
    <w:rsid w:val="538A75D5"/>
    <w:rsid w:val="538C3351"/>
    <w:rsid w:val="53903AAB"/>
    <w:rsid w:val="53BC7033"/>
    <w:rsid w:val="53CD391A"/>
    <w:rsid w:val="53CE1830"/>
    <w:rsid w:val="53CE7304"/>
    <w:rsid w:val="54386749"/>
    <w:rsid w:val="543A2978"/>
    <w:rsid w:val="543C6565"/>
    <w:rsid w:val="543D5B1D"/>
    <w:rsid w:val="54474821"/>
    <w:rsid w:val="544968CF"/>
    <w:rsid w:val="54A32EBC"/>
    <w:rsid w:val="54A763B1"/>
    <w:rsid w:val="54D14BBE"/>
    <w:rsid w:val="54E4052E"/>
    <w:rsid w:val="54F673DA"/>
    <w:rsid w:val="54F850E3"/>
    <w:rsid w:val="54FC27B5"/>
    <w:rsid w:val="551578E6"/>
    <w:rsid w:val="553009DC"/>
    <w:rsid w:val="55490EA4"/>
    <w:rsid w:val="55661A5C"/>
    <w:rsid w:val="55692860"/>
    <w:rsid w:val="55717CAD"/>
    <w:rsid w:val="558B5C62"/>
    <w:rsid w:val="558E2FA0"/>
    <w:rsid w:val="5597357E"/>
    <w:rsid w:val="55CB07A1"/>
    <w:rsid w:val="55CF04C0"/>
    <w:rsid w:val="55D02EBC"/>
    <w:rsid w:val="56140D8A"/>
    <w:rsid w:val="5618487F"/>
    <w:rsid w:val="56303904"/>
    <w:rsid w:val="563535A6"/>
    <w:rsid w:val="563C6B9C"/>
    <w:rsid w:val="5644159D"/>
    <w:rsid w:val="565B3463"/>
    <w:rsid w:val="565C0081"/>
    <w:rsid w:val="56687B4A"/>
    <w:rsid w:val="56750286"/>
    <w:rsid w:val="568E794C"/>
    <w:rsid w:val="56AB3614"/>
    <w:rsid w:val="56C80CEC"/>
    <w:rsid w:val="56DE0C51"/>
    <w:rsid w:val="56E71B69"/>
    <w:rsid w:val="57033568"/>
    <w:rsid w:val="5705385D"/>
    <w:rsid w:val="571B72E0"/>
    <w:rsid w:val="57213A9C"/>
    <w:rsid w:val="573A635E"/>
    <w:rsid w:val="578E31E2"/>
    <w:rsid w:val="57934920"/>
    <w:rsid w:val="57A704DA"/>
    <w:rsid w:val="57AB6BD5"/>
    <w:rsid w:val="57B8121A"/>
    <w:rsid w:val="57BB6D26"/>
    <w:rsid w:val="57C27201"/>
    <w:rsid w:val="57D111D5"/>
    <w:rsid w:val="57D20969"/>
    <w:rsid w:val="57F22DD4"/>
    <w:rsid w:val="58007291"/>
    <w:rsid w:val="58025DA7"/>
    <w:rsid w:val="58033731"/>
    <w:rsid w:val="58173946"/>
    <w:rsid w:val="584F7103"/>
    <w:rsid w:val="585471AB"/>
    <w:rsid w:val="585C5819"/>
    <w:rsid w:val="58645277"/>
    <w:rsid w:val="5873221F"/>
    <w:rsid w:val="588506A9"/>
    <w:rsid w:val="588C6662"/>
    <w:rsid w:val="58907ED8"/>
    <w:rsid w:val="58B852FB"/>
    <w:rsid w:val="58DF1942"/>
    <w:rsid w:val="58E80740"/>
    <w:rsid w:val="58EA4969"/>
    <w:rsid w:val="58F66779"/>
    <w:rsid w:val="58F843B9"/>
    <w:rsid w:val="59017410"/>
    <w:rsid w:val="59115282"/>
    <w:rsid w:val="59365135"/>
    <w:rsid w:val="5940742D"/>
    <w:rsid w:val="59481099"/>
    <w:rsid w:val="595614B6"/>
    <w:rsid w:val="5984742D"/>
    <w:rsid w:val="598B07B1"/>
    <w:rsid w:val="599E4354"/>
    <w:rsid w:val="59CB1B80"/>
    <w:rsid w:val="5A1E704A"/>
    <w:rsid w:val="5A2307EA"/>
    <w:rsid w:val="5A351557"/>
    <w:rsid w:val="5A3E78AF"/>
    <w:rsid w:val="5A4B524B"/>
    <w:rsid w:val="5A573868"/>
    <w:rsid w:val="5A6175C2"/>
    <w:rsid w:val="5A6C7FC2"/>
    <w:rsid w:val="5AA22C6F"/>
    <w:rsid w:val="5AA51FAC"/>
    <w:rsid w:val="5ABF69F1"/>
    <w:rsid w:val="5ACD5208"/>
    <w:rsid w:val="5AD15D67"/>
    <w:rsid w:val="5B064123"/>
    <w:rsid w:val="5B0F6D02"/>
    <w:rsid w:val="5B17572B"/>
    <w:rsid w:val="5B3232F2"/>
    <w:rsid w:val="5B4B0E47"/>
    <w:rsid w:val="5B4F3D07"/>
    <w:rsid w:val="5B537877"/>
    <w:rsid w:val="5B677413"/>
    <w:rsid w:val="5B8D0A01"/>
    <w:rsid w:val="5B990022"/>
    <w:rsid w:val="5B992133"/>
    <w:rsid w:val="5BA931C4"/>
    <w:rsid w:val="5BBA73D6"/>
    <w:rsid w:val="5BC95AC9"/>
    <w:rsid w:val="5BCD5896"/>
    <w:rsid w:val="5BD54299"/>
    <w:rsid w:val="5BF57E15"/>
    <w:rsid w:val="5C2E5195"/>
    <w:rsid w:val="5C3418FC"/>
    <w:rsid w:val="5C39792E"/>
    <w:rsid w:val="5C3B6B17"/>
    <w:rsid w:val="5C8A7D7F"/>
    <w:rsid w:val="5C98533D"/>
    <w:rsid w:val="5C9A1521"/>
    <w:rsid w:val="5CB50184"/>
    <w:rsid w:val="5CBF791D"/>
    <w:rsid w:val="5CC375AA"/>
    <w:rsid w:val="5CCA2794"/>
    <w:rsid w:val="5CE03E43"/>
    <w:rsid w:val="5CF03A7A"/>
    <w:rsid w:val="5D0101C8"/>
    <w:rsid w:val="5D10383C"/>
    <w:rsid w:val="5D296B21"/>
    <w:rsid w:val="5D34726B"/>
    <w:rsid w:val="5D3A4435"/>
    <w:rsid w:val="5D530C66"/>
    <w:rsid w:val="5D56656B"/>
    <w:rsid w:val="5DAE4BBE"/>
    <w:rsid w:val="5DBF0D2C"/>
    <w:rsid w:val="5DE445BE"/>
    <w:rsid w:val="5DE844F8"/>
    <w:rsid w:val="5DF05FB7"/>
    <w:rsid w:val="5E14676D"/>
    <w:rsid w:val="5E1645ED"/>
    <w:rsid w:val="5E2D5F56"/>
    <w:rsid w:val="5E5D7C30"/>
    <w:rsid w:val="5E6D5F2C"/>
    <w:rsid w:val="5E9E7EA3"/>
    <w:rsid w:val="5EBB430E"/>
    <w:rsid w:val="5EC66DC6"/>
    <w:rsid w:val="5ED3379A"/>
    <w:rsid w:val="5EEC6A46"/>
    <w:rsid w:val="5F2D381D"/>
    <w:rsid w:val="5F4653E5"/>
    <w:rsid w:val="5F561907"/>
    <w:rsid w:val="5F574061"/>
    <w:rsid w:val="5F673FB1"/>
    <w:rsid w:val="5F7E3EA9"/>
    <w:rsid w:val="5F804EEF"/>
    <w:rsid w:val="5FB21D86"/>
    <w:rsid w:val="5FD76159"/>
    <w:rsid w:val="60004EFF"/>
    <w:rsid w:val="6007605D"/>
    <w:rsid w:val="600F5980"/>
    <w:rsid w:val="60157487"/>
    <w:rsid w:val="60165763"/>
    <w:rsid w:val="60375DD1"/>
    <w:rsid w:val="604D579A"/>
    <w:rsid w:val="604F00BC"/>
    <w:rsid w:val="6066520D"/>
    <w:rsid w:val="606C003D"/>
    <w:rsid w:val="60712077"/>
    <w:rsid w:val="60805F31"/>
    <w:rsid w:val="609837B0"/>
    <w:rsid w:val="60B22982"/>
    <w:rsid w:val="60BE4F83"/>
    <w:rsid w:val="60E7689A"/>
    <w:rsid w:val="60F90AA0"/>
    <w:rsid w:val="610763B4"/>
    <w:rsid w:val="611439F1"/>
    <w:rsid w:val="61330FD5"/>
    <w:rsid w:val="61392159"/>
    <w:rsid w:val="613B19D5"/>
    <w:rsid w:val="614930BC"/>
    <w:rsid w:val="615C33FC"/>
    <w:rsid w:val="615D508F"/>
    <w:rsid w:val="618C0215"/>
    <w:rsid w:val="61926F12"/>
    <w:rsid w:val="61A07346"/>
    <w:rsid w:val="61A50C25"/>
    <w:rsid w:val="61A56E96"/>
    <w:rsid w:val="61A97F33"/>
    <w:rsid w:val="61CC7037"/>
    <w:rsid w:val="62152F57"/>
    <w:rsid w:val="621E255F"/>
    <w:rsid w:val="62697054"/>
    <w:rsid w:val="626D2B12"/>
    <w:rsid w:val="6276598E"/>
    <w:rsid w:val="627F7BCA"/>
    <w:rsid w:val="6285153F"/>
    <w:rsid w:val="628D6238"/>
    <w:rsid w:val="629D333B"/>
    <w:rsid w:val="62AB1221"/>
    <w:rsid w:val="62AD53E3"/>
    <w:rsid w:val="62B20092"/>
    <w:rsid w:val="62B5781D"/>
    <w:rsid w:val="62C17590"/>
    <w:rsid w:val="62C80A6C"/>
    <w:rsid w:val="62CC4586"/>
    <w:rsid w:val="62DA193B"/>
    <w:rsid w:val="62DA4B30"/>
    <w:rsid w:val="62ED1E8E"/>
    <w:rsid w:val="62FF05FA"/>
    <w:rsid w:val="63106A9C"/>
    <w:rsid w:val="63107F30"/>
    <w:rsid w:val="63576E32"/>
    <w:rsid w:val="636225B4"/>
    <w:rsid w:val="636458BF"/>
    <w:rsid w:val="636576E2"/>
    <w:rsid w:val="6382622B"/>
    <w:rsid w:val="638612C9"/>
    <w:rsid w:val="63862BCC"/>
    <w:rsid w:val="6394656B"/>
    <w:rsid w:val="63B1328C"/>
    <w:rsid w:val="63CB158D"/>
    <w:rsid w:val="640D6D9B"/>
    <w:rsid w:val="64195646"/>
    <w:rsid w:val="64214B32"/>
    <w:rsid w:val="64324710"/>
    <w:rsid w:val="644233D5"/>
    <w:rsid w:val="644E5A02"/>
    <w:rsid w:val="64583417"/>
    <w:rsid w:val="6460163B"/>
    <w:rsid w:val="64891184"/>
    <w:rsid w:val="648F5BEF"/>
    <w:rsid w:val="64AA2233"/>
    <w:rsid w:val="64B35D4D"/>
    <w:rsid w:val="64B829AD"/>
    <w:rsid w:val="64BE131F"/>
    <w:rsid w:val="64C80BEE"/>
    <w:rsid w:val="64CA7E37"/>
    <w:rsid w:val="64FA14F9"/>
    <w:rsid w:val="65104B6C"/>
    <w:rsid w:val="652401E1"/>
    <w:rsid w:val="6533388E"/>
    <w:rsid w:val="655178B0"/>
    <w:rsid w:val="656318DD"/>
    <w:rsid w:val="656D05CF"/>
    <w:rsid w:val="657217B6"/>
    <w:rsid w:val="6588279E"/>
    <w:rsid w:val="6598469E"/>
    <w:rsid w:val="65A939E7"/>
    <w:rsid w:val="65AE0112"/>
    <w:rsid w:val="65B14984"/>
    <w:rsid w:val="65B5310D"/>
    <w:rsid w:val="65C32A70"/>
    <w:rsid w:val="65D13865"/>
    <w:rsid w:val="65FD6BC1"/>
    <w:rsid w:val="66022B46"/>
    <w:rsid w:val="661B4616"/>
    <w:rsid w:val="6637260C"/>
    <w:rsid w:val="664333F0"/>
    <w:rsid w:val="66447DFC"/>
    <w:rsid w:val="664A1059"/>
    <w:rsid w:val="666E1011"/>
    <w:rsid w:val="669235AC"/>
    <w:rsid w:val="66B12FDF"/>
    <w:rsid w:val="66C54D50"/>
    <w:rsid w:val="66CD0089"/>
    <w:rsid w:val="66DF190B"/>
    <w:rsid w:val="66FC3809"/>
    <w:rsid w:val="670A6535"/>
    <w:rsid w:val="67151E24"/>
    <w:rsid w:val="672E1686"/>
    <w:rsid w:val="67575962"/>
    <w:rsid w:val="675B74F9"/>
    <w:rsid w:val="67964A8C"/>
    <w:rsid w:val="679F0FFD"/>
    <w:rsid w:val="67A104A1"/>
    <w:rsid w:val="67B27524"/>
    <w:rsid w:val="67B409CB"/>
    <w:rsid w:val="67BA1CF2"/>
    <w:rsid w:val="67BA653A"/>
    <w:rsid w:val="67BC39A0"/>
    <w:rsid w:val="67E20BF3"/>
    <w:rsid w:val="67E426CD"/>
    <w:rsid w:val="682C52A1"/>
    <w:rsid w:val="683520EE"/>
    <w:rsid w:val="68370E13"/>
    <w:rsid w:val="68461AE5"/>
    <w:rsid w:val="685860D3"/>
    <w:rsid w:val="687D5D9F"/>
    <w:rsid w:val="687E36D3"/>
    <w:rsid w:val="68973D43"/>
    <w:rsid w:val="689B2350"/>
    <w:rsid w:val="689C6198"/>
    <w:rsid w:val="68BE1354"/>
    <w:rsid w:val="68CF07D8"/>
    <w:rsid w:val="68D579D8"/>
    <w:rsid w:val="68F95CBF"/>
    <w:rsid w:val="690E34A0"/>
    <w:rsid w:val="690E375D"/>
    <w:rsid w:val="691F4A16"/>
    <w:rsid w:val="69231E86"/>
    <w:rsid w:val="693844AF"/>
    <w:rsid w:val="696C46D7"/>
    <w:rsid w:val="696E4E9A"/>
    <w:rsid w:val="697D7299"/>
    <w:rsid w:val="698020DD"/>
    <w:rsid w:val="698B3A69"/>
    <w:rsid w:val="69917608"/>
    <w:rsid w:val="6998299F"/>
    <w:rsid w:val="699F21D7"/>
    <w:rsid w:val="69C452C6"/>
    <w:rsid w:val="69CC1F6C"/>
    <w:rsid w:val="69CC6C47"/>
    <w:rsid w:val="69E84235"/>
    <w:rsid w:val="69F43576"/>
    <w:rsid w:val="6A02657D"/>
    <w:rsid w:val="6A10561D"/>
    <w:rsid w:val="6A127394"/>
    <w:rsid w:val="6A1A1929"/>
    <w:rsid w:val="6A472583"/>
    <w:rsid w:val="6A4819E2"/>
    <w:rsid w:val="6A5008AE"/>
    <w:rsid w:val="6A520DAB"/>
    <w:rsid w:val="6A5D7B43"/>
    <w:rsid w:val="6A630B75"/>
    <w:rsid w:val="6A68014F"/>
    <w:rsid w:val="6A6C6118"/>
    <w:rsid w:val="6A9C189B"/>
    <w:rsid w:val="6AB6515A"/>
    <w:rsid w:val="6AC224E3"/>
    <w:rsid w:val="6ACE16AC"/>
    <w:rsid w:val="6ACE3E20"/>
    <w:rsid w:val="6AD05769"/>
    <w:rsid w:val="6AD13693"/>
    <w:rsid w:val="6AD14CF8"/>
    <w:rsid w:val="6AD664B2"/>
    <w:rsid w:val="6ADA1235"/>
    <w:rsid w:val="6B040A29"/>
    <w:rsid w:val="6B117057"/>
    <w:rsid w:val="6B1D4A21"/>
    <w:rsid w:val="6B1F07CD"/>
    <w:rsid w:val="6B3D54FB"/>
    <w:rsid w:val="6B3E618C"/>
    <w:rsid w:val="6B526AF3"/>
    <w:rsid w:val="6B655707"/>
    <w:rsid w:val="6B6E0F26"/>
    <w:rsid w:val="6B76009B"/>
    <w:rsid w:val="6B861F03"/>
    <w:rsid w:val="6B9656E9"/>
    <w:rsid w:val="6BC06392"/>
    <w:rsid w:val="6BDD5158"/>
    <w:rsid w:val="6BE37597"/>
    <w:rsid w:val="6C052388"/>
    <w:rsid w:val="6C2328CF"/>
    <w:rsid w:val="6C2C57E7"/>
    <w:rsid w:val="6C4740CA"/>
    <w:rsid w:val="6C60775E"/>
    <w:rsid w:val="6C6A2C28"/>
    <w:rsid w:val="6C6F01DB"/>
    <w:rsid w:val="6C6F6772"/>
    <w:rsid w:val="6C9D265A"/>
    <w:rsid w:val="6CA92454"/>
    <w:rsid w:val="6CBF59F3"/>
    <w:rsid w:val="6CCE756F"/>
    <w:rsid w:val="6CF638E3"/>
    <w:rsid w:val="6CFC4B09"/>
    <w:rsid w:val="6D000BE4"/>
    <w:rsid w:val="6D0A53F6"/>
    <w:rsid w:val="6D0C6563"/>
    <w:rsid w:val="6D3F4FB5"/>
    <w:rsid w:val="6D5E658B"/>
    <w:rsid w:val="6D61677A"/>
    <w:rsid w:val="6D7812DB"/>
    <w:rsid w:val="6DC532AB"/>
    <w:rsid w:val="6DC973AC"/>
    <w:rsid w:val="6DCB0E6B"/>
    <w:rsid w:val="6DCF30A0"/>
    <w:rsid w:val="6DCF3D0A"/>
    <w:rsid w:val="6DD52D72"/>
    <w:rsid w:val="6DE5323B"/>
    <w:rsid w:val="6E7F0DCA"/>
    <w:rsid w:val="6E9A099C"/>
    <w:rsid w:val="6E9E57CE"/>
    <w:rsid w:val="6EA64E18"/>
    <w:rsid w:val="6EAA5C21"/>
    <w:rsid w:val="6EBE38D3"/>
    <w:rsid w:val="6EC6436C"/>
    <w:rsid w:val="6ECA7B5E"/>
    <w:rsid w:val="6ECE4CC3"/>
    <w:rsid w:val="6ED1518B"/>
    <w:rsid w:val="6EF5775B"/>
    <w:rsid w:val="6EF63790"/>
    <w:rsid w:val="6F0002C7"/>
    <w:rsid w:val="6F0046D6"/>
    <w:rsid w:val="6F1545C5"/>
    <w:rsid w:val="6F1E0076"/>
    <w:rsid w:val="6F2E47A0"/>
    <w:rsid w:val="6F322079"/>
    <w:rsid w:val="6F423056"/>
    <w:rsid w:val="6F4D29CB"/>
    <w:rsid w:val="6F4E48CB"/>
    <w:rsid w:val="6F611269"/>
    <w:rsid w:val="6F8D1259"/>
    <w:rsid w:val="6F8D3B35"/>
    <w:rsid w:val="6FA0385D"/>
    <w:rsid w:val="6FB470AF"/>
    <w:rsid w:val="6FBF3781"/>
    <w:rsid w:val="6FC33E7B"/>
    <w:rsid w:val="6FC671AD"/>
    <w:rsid w:val="6FD014F2"/>
    <w:rsid w:val="70094B88"/>
    <w:rsid w:val="701A4130"/>
    <w:rsid w:val="702D297F"/>
    <w:rsid w:val="7049540E"/>
    <w:rsid w:val="7063500A"/>
    <w:rsid w:val="70661533"/>
    <w:rsid w:val="7071458B"/>
    <w:rsid w:val="70A35D39"/>
    <w:rsid w:val="70A70F1E"/>
    <w:rsid w:val="70C44E9E"/>
    <w:rsid w:val="70CB242C"/>
    <w:rsid w:val="70D45506"/>
    <w:rsid w:val="70DE1043"/>
    <w:rsid w:val="710F678C"/>
    <w:rsid w:val="71161CE6"/>
    <w:rsid w:val="71185B27"/>
    <w:rsid w:val="714E4B31"/>
    <w:rsid w:val="714F340B"/>
    <w:rsid w:val="716520A8"/>
    <w:rsid w:val="71667508"/>
    <w:rsid w:val="716C2B67"/>
    <w:rsid w:val="716D47E2"/>
    <w:rsid w:val="71887AEE"/>
    <w:rsid w:val="71C73922"/>
    <w:rsid w:val="71DA3454"/>
    <w:rsid w:val="7201767C"/>
    <w:rsid w:val="72133580"/>
    <w:rsid w:val="72152428"/>
    <w:rsid w:val="721D5176"/>
    <w:rsid w:val="721E3DCD"/>
    <w:rsid w:val="72330A1B"/>
    <w:rsid w:val="723A42E4"/>
    <w:rsid w:val="7241536C"/>
    <w:rsid w:val="725A2D85"/>
    <w:rsid w:val="725C44F8"/>
    <w:rsid w:val="726A7FB8"/>
    <w:rsid w:val="727174A1"/>
    <w:rsid w:val="72813A5C"/>
    <w:rsid w:val="72856058"/>
    <w:rsid w:val="72882309"/>
    <w:rsid w:val="729E672C"/>
    <w:rsid w:val="72AD747F"/>
    <w:rsid w:val="72B33160"/>
    <w:rsid w:val="72B70725"/>
    <w:rsid w:val="72CE7148"/>
    <w:rsid w:val="72D03F39"/>
    <w:rsid w:val="72F553E2"/>
    <w:rsid w:val="731B6594"/>
    <w:rsid w:val="73255C5A"/>
    <w:rsid w:val="733A6E02"/>
    <w:rsid w:val="73417669"/>
    <w:rsid w:val="735D1EEE"/>
    <w:rsid w:val="735E7AC1"/>
    <w:rsid w:val="73792E46"/>
    <w:rsid w:val="73806AB9"/>
    <w:rsid w:val="738C534D"/>
    <w:rsid w:val="73970461"/>
    <w:rsid w:val="739A5B86"/>
    <w:rsid w:val="73A919BF"/>
    <w:rsid w:val="73AD2A6E"/>
    <w:rsid w:val="73C86AFA"/>
    <w:rsid w:val="73DB57AD"/>
    <w:rsid w:val="73F30157"/>
    <w:rsid w:val="73FE4A94"/>
    <w:rsid w:val="740C0071"/>
    <w:rsid w:val="74161104"/>
    <w:rsid w:val="741C3E0E"/>
    <w:rsid w:val="743631A9"/>
    <w:rsid w:val="744901BF"/>
    <w:rsid w:val="74572A7C"/>
    <w:rsid w:val="74802E6F"/>
    <w:rsid w:val="7486680C"/>
    <w:rsid w:val="748670A0"/>
    <w:rsid w:val="748A5404"/>
    <w:rsid w:val="74B22D70"/>
    <w:rsid w:val="74D3325E"/>
    <w:rsid w:val="750C101D"/>
    <w:rsid w:val="751D7A4C"/>
    <w:rsid w:val="75244F02"/>
    <w:rsid w:val="75350964"/>
    <w:rsid w:val="75362865"/>
    <w:rsid w:val="754545D8"/>
    <w:rsid w:val="754C02ED"/>
    <w:rsid w:val="754D7D4D"/>
    <w:rsid w:val="75514BF9"/>
    <w:rsid w:val="7555134A"/>
    <w:rsid w:val="75567180"/>
    <w:rsid w:val="755A631C"/>
    <w:rsid w:val="755F4319"/>
    <w:rsid w:val="757A3888"/>
    <w:rsid w:val="7581413D"/>
    <w:rsid w:val="75821E7B"/>
    <w:rsid w:val="759D6EC3"/>
    <w:rsid w:val="75A81AA5"/>
    <w:rsid w:val="75AD45E9"/>
    <w:rsid w:val="75CF361D"/>
    <w:rsid w:val="75E52DCD"/>
    <w:rsid w:val="75FB0068"/>
    <w:rsid w:val="76185D1C"/>
    <w:rsid w:val="761E66CD"/>
    <w:rsid w:val="76261B5E"/>
    <w:rsid w:val="76341BE6"/>
    <w:rsid w:val="7635642F"/>
    <w:rsid w:val="76531386"/>
    <w:rsid w:val="766F5D9F"/>
    <w:rsid w:val="7677237E"/>
    <w:rsid w:val="767A7B51"/>
    <w:rsid w:val="767B6CD8"/>
    <w:rsid w:val="768030F0"/>
    <w:rsid w:val="76931CF6"/>
    <w:rsid w:val="76BC584E"/>
    <w:rsid w:val="76E65A6A"/>
    <w:rsid w:val="76E913A2"/>
    <w:rsid w:val="76F35D7E"/>
    <w:rsid w:val="76F46B06"/>
    <w:rsid w:val="76FE6766"/>
    <w:rsid w:val="770B5646"/>
    <w:rsid w:val="770D4B3E"/>
    <w:rsid w:val="772405EF"/>
    <w:rsid w:val="7737657F"/>
    <w:rsid w:val="77465621"/>
    <w:rsid w:val="776169AF"/>
    <w:rsid w:val="77834210"/>
    <w:rsid w:val="77894983"/>
    <w:rsid w:val="779A5A51"/>
    <w:rsid w:val="77AF1F63"/>
    <w:rsid w:val="77CE434F"/>
    <w:rsid w:val="77D721C7"/>
    <w:rsid w:val="77DC7908"/>
    <w:rsid w:val="77ED744A"/>
    <w:rsid w:val="77EF1412"/>
    <w:rsid w:val="780E31FA"/>
    <w:rsid w:val="781F15DD"/>
    <w:rsid w:val="783C7E10"/>
    <w:rsid w:val="78451E96"/>
    <w:rsid w:val="78485AB6"/>
    <w:rsid w:val="78754BCC"/>
    <w:rsid w:val="78784D1F"/>
    <w:rsid w:val="78A02AFB"/>
    <w:rsid w:val="78CB1B11"/>
    <w:rsid w:val="78CD4E24"/>
    <w:rsid w:val="78E3562E"/>
    <w:rsid w:val="790A33D3"/>
    <w:rsid w:val="79190FAC"/>
    <w:rsid w:val="791C55A6"/>
    <w:rsid w:val="79471B73"/>
    <w:rsid w:val="79550518"/>
    <w:rsid w:val="79592854"/>
    <w:rsid w:val="79595E18"/>
    <w:rsid w:val="79631A2C"/>
    <w:rsid w:val="79745C18"/>
    <w:rsid w:val="79761728"/>
    <w:rsid w:val="7980795F"/>
    <w:rsid w:val="7985499D"/>
    <w:rsid w:val="798650C1"/>
    <w:rsid w:val="799A10BD"/>
    <w:rsid w:val="799F718E"/>
    <w:rsid w:val="79A154E2"/>
    <w:rsid w:val="79AF71BD"/>
    <w:rsid w:val="79B019C3"/>
    <w:rsid w:val="79B05C6F"/>
    <w:rsid w:val="79B60D47"/>
    <w:rsid w:val="79C4233C"/>
    <w:rsid w:val="79C8598C"/>
    <w:rsid w:val="79DA4214"/>
    <w:rsid w:val="79DB49EE"/>
    <w:rsid w:val="79ED1DF3"/>
    <w:rsid w:val="79F72FA3"/>
    <w:rsid w:val="7A0D7602"/>
    <w:rsid w:val="7A236814"/>
    <w:rsid w:val="7A317118"/>
    <w:rsid w:val="7A510614"/>
    <w:rsid w:val="7A626C7D"/>
    <w:rsid w:val="7A716141"/>
    <w:rsid w:val="7A8377F8"/>
    <w:rsid w:val="7A9942DA"/>
    <w:rsid w:val="7A9C0D2A"/>
    <w:rsid w:val="7AC30038"/>
    <w:rsid w:val="7AD5215A"/>
    <w:rsid w:val="7AF958CF"/>
    <w:rsid w:val="7AFB4146"/>
    <w:rsid w:val="7B0674E0"/>
    <w:rsid w:val="7B11123A"/>
    <w:rsid w:val="7B353579"/>
    <w:rsid w:val="7B3705B0"/>
    <w:rsid w:val="7B51005B"/>
    <w:rsid w:val="7B6B4368"/>
    <w:rsid w:val="7B75396D"/>
    <w:rsid w:val="7B7C534E"/>
    <w:rsid w:val="7B8F1AB1"/>
    <w:rsid w:val="7B9C22F7"/>
    <w:rsid w:val="7B9F1BA4"/>
    <w:rsid w:val="7BA10032"/>
    <w:rsid w:val="7BAE07C9"/>
    <w:rsid w:val="7BB66BF7"/>
    <w:rsid w:val="7BBC588B"/>
    <w:rsid w:val="7BC43544"/>
    <w:rsid w:val="7BC4531E"/>
    <w:rsid w:val="7BCE0967"/>
    <w:rsid w:val="7BE43CE0"/>
    <w:rsid w:val="7C1E0904"/>
    <w:rsid w:val="7C264EAA"/>
    <w:rsid w:val="7C3A053E"/>
    <w:rsid w:val="7C3A1B18"/>
    <w:rsid w:val="7C4313EA"/>
    <w:rsid w:val="7C4E624E"/>
    <w:rsid w:val="7C5F4F6C"/>
    <w:rsid w:val="7C6613DC"/>
    <w:rsid w:val="7C6E1E61"/>
    <w:rsid w:val="7C7D5AD2"/>
    <w:rsid w:val="7C8100A0"/>
    <w:rsid w:val="7C81601E"/>
    <w:rsid w:val="7CA044EB"/>
    <w:rsid w:val="7CAA74D6"/>
    <w:rsid w:val="7CC26D97"/>
    <w:rsid w:val="7CCA5FAE"/>
    <w:rsid w:val="7CDD4F4E"/>
    <w:rsid w:val="7CE0001E"/>
    <w:rsid w:val="7CE24B33"/>
    <w:rsid w:val="7CF168D9"/>
    <w:rsid w:val="7D070D50"/>
    <w:rsid w:val="7D196F81"/>
    <w:rsid w:val="7D4630E7"/>
    <w:rsid w:val="7D530A7A"/>
    <w:rsid w:val="7D580E3B"/>
    <w:rsid w:val="7D601BC5"/>
    <w:rsid w:val="7D706ED2"/>
    <w:rsid w:val="7D712CF6"/>
    <w:rsid w:val="7D76629E"/>
    <w:rsid w:val="7D8726F8"/>
    <w:rsid w:val="7D9676BA"/>
    <w:rsid w:val="7D982A0E"/>
    <w:rsid w:val="7DD32638"/>
    <w:rsid w:val="7DDA691F"/>
    <w:rsid w:val="7DE102CB"/>
    <w:rsid w:val="7DE76EC6"/>
    <w:rsid w:val="7DEF4AE0"/>
    <w:rsid w:val="7E18665B"/>
    <w:rsid w:val="7E3C1A48"/>
    <w:rsid w:val="7E466997"/>
    <w:rsid w:val="7E6801BF"/>
    <w:rsid w:val="7E7025A9"/>
    <w:rsid w:val="7E732F16"/>
    <w:rsid w:val="7E7A186D"/>
    <w:rsid w:val="7EC364AF"/>
    <w:rsid w:val="7EC71ED8"/>
    <w:rsid w:val="7ED21B1D"/>
    <w:rsid w:val="7ED74EA6"/>
    <w:rsid w:val="7EDD5F82"/>
    <w:rsid w:val="7EE7039C"/>
    <w:rsid w:val="7EED3C84"/>
    <w:rsid w:val="7F087612"/>
    <w:rsid w:val="7F1C7791"/>
    <w:rsid w:val="7F421F99"/>
    <w:rsid w:val="7F5011C9"/>
    <w:rsid w:val="7F58130E"/>
    <w:rsid w:val="7F83582A"/>
    <w:rsid w:val="7F863A1D"/>
    <w:rsid w:val="7FAE0C8B"/>
    <w:rsid w:val="7FB81CAD"/>
    <w:rsid w:val="7FC33462"/>
    <w:rsid w:val="7FD04A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unhideWhenUsed/>
    <w:qFormat/>
    <w:uiPriority w:val="9"/>
    <w:pPr>
      <w:spacing w:beforeAutospacing="1" w:afterAutospacing="1"/>
      <w:jc w:val="left"/>
      <w:outlineLvl w:val="2"/>
    </w:pPr>
    <w:rPr>
      <w:rFonts w:hint="eastAsia" w:ascii="宋体" w:hAnsi="宋体"/>
      <w:b/>
      <w:kern w:val="0"/>
      <w:sz w:val="27"/>
      <w:szCs w:val="27"/>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1"/>
    <w:semiHidden/>
    <w:unhideWhenUsed/>
    <w:qFormat/>
    <w:uiPriority w:val="99"/>
    <w:pPr>
      <w:jc w:val="left"/>
    </w:pPr>
  </w:style>
  <w:style w:type="paragraph" w:styleId="6">
    <w:name w:val="Body Text Indent"/>
    <w:basedOn w:val="1"/>
    <w:qFormat/>
    <w:uiPriority w:val="0"/>
    <w:pPr>
      <w:ind w:firstLine="449" w:firstLineChars="187"/>
    </w:pPr>
    <w:rPr>
      <w:sz w:val="24"/>
    </w:rPr>
  </w:style>
  <w:style w:type="paragraph" w:styleId="7">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8">
    <w:name w:val="Plain Text"/>
    <w:basedOn w:val="1"/>
    <w:qFormat/>
    <w:uiPriority w:val="0"/>
    <w:rPr>
      <w:rFonts w:hint="eastAsia" w:ascii="宋体" w:hAnsi="Courier New"/>
      <w:szCs w:val="20"/>
    </w:rPr>
  </w:style>
  <w:style w:type="paragraph" w:styleId="9">
    <w:name w:val="Date"/>
    <w:basedOn w:val="1"/>
    <w:next w:val="1"/>
    <w:qFormat/>
    <w:uiPriority w:val="0"/>
    <w:pPr>
      <w:ind w:left="100" w:leftChars="2500"/>
    </w:pPr>
  </w:style>
  <w:style w:type="paragraph" w:styleId="10">
    <w:name w:val="Balloon Text"/>
    <w:basedOn w:val="1"/>
    <w:qFormat/>
    <w:uiPriority w:val="0"/>
    <w:rPr>
      <w:sz w:val="18"/>
      <w:szCs w:val="18"/>
    </w:rPr>
  </w:style>
  <w:style w:type="paragraph" w:styleId="11">
    <w:name w:val="footer"/>
    <w:basedOn w:val="1"/>
    <w:link w:val="47"/>
    <w:qFormat/>
    <w:uiPriority w:val="99"/>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tabs>
        <w:tab w:val="right" w:leader="dot" w:pos="8630"/>
      </w:tabs>
      <w:spacing w:line="360" w:lineRule="auto"/>
    </w:pPr>
  </w:style>
  <w:style w:type="paragraph" w:styleId="14">
    <w:name w:val="Subtitle"/>
    <w:basedOn w:val="1"/>
    <w:next w:val="1"/>
    <w:link w:val="46"/>
    <w:qFormat/>
    <w:uiPriority w:val="11"/>
    <w:pPr>
      <w:spacing w:beforeLines="50" w:afterLines="50"/>
      <w:outlineLvl w:val="1"/>
    </w:pPr>
    <w:rPr>
      <w:rFonts w:ascii="等线 Light" w:hAnsi="等线 Light" w:eastAsia="黑体"/>
      <w:b/>
      <w:bCs/>
      <w:kern w:val="28"/>
      <w:szCs w:val="32"/>
    </w:rPr>
  </w:style>
  <w:style w:type="paragraph" w:styleId="15">
    <w:name w:val="toc 2"/>
    <w:basedOn w:val="1"/>
    <w:next w:val="1"/>
    <w:qFormat/>
    <w:uiPriority w:val="39"/>
    <w:pPr>
      <w:tabs>
        <w:tab w:val="right" w:leader="dot" w:pos="8630"/>
      </w:tabs>
      <w:spacing w:line="360" w:lineRule="auto"/>
    </w:pPr>
  </w:style>
  <w:style w:type="paragraph" w:styleId="16">
    <w:name w:val="Title"/>
    <w:basedOn w:val="1"/>
    <w:next w:val="1"/>
    <w:link w:val="38"/>
    <w:qFormat/>
    <w:uiPriority w:val="10"/>
    <w:pPr>
      <w:spacing w:beforeLines="100" w:afterLines="100"/>
      <w:jc w:val="left"/>
      <w:outlineLvl w:val="0"/>
    </w:pPr>
    <w:rPr>
      <w:rFonts w:ascii="等线 Light" w:hAnsi="等线 Light" w:eastAsia="黑体"/>
      <w:b/>
      <w:bCs/>
      <w:szCs w:val="32"/>
    </w:rPr>
  </w:style>
  <w:style w:type="paragraph" w:styleId="17">
    <w:name w:val="annotation subject"/>
    <w:basedOn w:val="5"/>
    <w:next w:val="5"/>
    <w:link w:val="32"/>
    <w:semiHidden/>
    <w:unhideWhenUsed/>
    <w:qFormat/>
    <w:uiPriority w:val="99"/>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character" w:styleId="22">
    <w:name w:val="page number"/>
    <w:basedOn w:val="20"/>
    <w:qFormat/>
    <w:uiPriority w:val="0"/>
  </w:style>
  <w:style w:type="character" w:styleId="23">
    <w:name w:val="Hyperlink"/>
    <w:basedOn w:val="20"/>
    <w:qFormat/>
    <w:uiPriority w:val="99"/>
    <w:rPr>
      <w:color w:val="0000FF"/>
      <w:u w:val="single"/>
    </w:rPr>
  </w:style>
  <w:style w:type="character" w:styleId="24">
    <w:name w:val="annotation reference"/>
    <w:basedOn w:val="20"/>
    <w:semiHidden/>
    <w:unhideWhenUsed/>
    <w:qFormat/>
    <w:uiPriority w:val="99"/>
    <w:rPr>
      <w:sz w:val="21"/>
      <w:szCs w:val="21"/>
    </w:rPr>
  </w:style>
  <w:style w:type="character" w:customStyle="1" w:styleId="25">
    <w:name w:val="标题 2 字符"/>
    <w:basedOn w:val="20"/>
    <w:link w:val="3"/>
    <w:qFormat/>
    <w:uiPriority w:val="0"/>
    <w:rPr>
      <w:rFonts w:ascii="Arial" w:hAnsi="Arial" w:eastAsia="黑体"/>
      <w:b/>
      <w:bCs/>
      <w:kern w:val="2"/>
      <w:sz w:val="32"/>
      <w:szCs w:val="32"/>
      <w:lang w:val="en-US" w:eastAsia="zh-CN" w:bidi="ar-SA"/>
    </w:rPr>
  </w:style>
  <w:style w:type="paragraph" w:customStyle="1" w:styleId="26">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7">
    <w:name w:val="Char Char Char Char Char Char1 Char Char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8">
    <w:name w:val="Char Char Char Char Char Char Char Char Char Char Char Char Char Char Char Char"/>
    <w:basedOn w:val="1"/>
    <w:qFormat/>
    <w:uiPriority w:val="0"/>
    <w:pPr>
      <w:tabs>
        <w:tab w:val="left" w:pos="360"/>
      </w:tabs>
    </w:pPr>
    <w:rPr>
      <w:sz w:val="24"/>
    </w:rPr>
  </w:style>
  <w:style w:type="character" w:styleId="29">
    <w:name w:val="Placeholder Text"/>
    <w:basedOn w:val="20"/>
    <w:semiHidden/>
    <w:qFormat/>
    <w:uiPriority w:val="99"/>
    <w:rPr>
      <w:color w:val="808080"/>
    </w:rPr>
  </w:style>
  <w:style w:type="character" w:customStyle="1" w:styleId="30">
    <w:name w:val="标题 1 字符"/>
    <w:basedOn w:val="20"/>
    <w:link w:val="2"/>
    <w:qFormat/>
    <w:uiPriority w:val="0"/>
    <w:rPr>
      <w:b/>
      <w:bCs/>
      <w:kern w:val="44"/>
      <w:sz w:val="44"/>
      <w:szCs w:val="44"/>
    </w:rPr>
  </w:style>
  <w:style w:type="character" w:customStyle="1" w:styleId="31">
    <w:name w:val="批注文字 字符"/>
    <w:basedOn w:val="20"/>
    <w:link w:val="5"/>
    <w:semiHidden/>
    <w:qFormat/>
    <w:uiPriority w:val="99"/>
    <w:rPr>
      <w:kern w:val="2"/>
      <w:sz w:val="21"/>
      <w:szCs w:val="24"/>
    </w:rPr>
  </w:style>
  <w:style w:type="character" w:customStyle="1" w:styleId="32">
    <w:name w:val="批注主题 字符"/>
    <w:basedOn w:val="31"/>
    <w:link w:val="17"/>
    <w:semiHidden/>
    <w:qFormat/>
    <w:uiPriority w:val="99"/>
    <w:rPr>
      <w:b/>
      <w:bCs/>
      <w:kern w:val="2"/>
      <w:sz w:val="21"/>
      <w:szCs w:val="24"/>
    </w:rPr>
  </w:style>
  <w:style w:type="paragraph" w:customStyle="1" w:styleId="3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styleId="34">
    <w:name w:val="List Paragraph"/>
    <w:basedOn w:val="1"/>
    <w:qFormat/>
    <w:uiPriority w:val="34"/>
    <w:pPr>
      <w:ind w:firstLine="420" w:firstLineChars="200"/>
    </w:pPr>
    <w:rPr>
      <w:szCs w:val="20"/>
    </w:rPr>
  </w:style>
  <w:style w:type="paragraph" w:customStyle="1" w:styleId="3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36">
    <w:name w:val="段"/>
    <w:link w:val="37"/>
    <w:qFormat/>
    <w:uiPriority w:val="0"/>
    <w:pPr>
      <w:tabs>
        <w:tab w:val="center" w:pos="4201"/>
        <w:tab w:val="right" w:leader="dot" w:pos="9298"/>
      </w:tabs>
      <w:ind w:firstLine="198" w:firstLineChars="200"/>
      <w:jc w:val="both"/>
    </w:pPr>
    <w:rPr>
      <w:rFonts w:ascii="宋体" w:hAnsi="宋体" w:eastAsia="宋体" w:cs="Times New Roman"/>
      <w:sz w:val="21"/>
      <w:szCs w:val="21"/>
      <w:lang w:val="en-US" w:eastAsia="zh-CN" w:bidi="ar-SA"/>
    </w:rPr>
  </w:style>
  <w:style w:type="character" w:customStyle="1" w:styleId="37">
    <w:name w:val="段 Char"/>
    <w:link w:val="36"/>
    <w:qFormat/>
    <w:uiPriority w:val="0"/>
    <w:rPr>
      <w:rFonts w:ascii="宋体" w:hAnsi="宋体"/>
      <w:sz w:val="21"/>
      <w:szCs w:val="21"/>
    </w:rPr>
  </w:style>
  <w:style w:type="character" w:customStyle="1" w:styleId="38">
    <w:name w:val="标题 字符"/>
    <w:basedOn w:val="20"/>
    <w:link w:val="16"/>
    <w:qFormat/>
    <w:uiPriority w:val="10"/>
    <w:rPr>
      <w:rFonts w:ascii="等线 Light" w:hAnsi="等线 Light" w:eastAsia="黑体"/>
      <w:b/>
      <w:bCs/>
      <w:kern w:val="2"/>
      <w:sz w:val="21"/>
      <w:szCs w:val="32"/>
    </w:rPr>
  </w:style>
  <w:style w:type="paragraph" w:customStyle="1" w:styleId="39">
    <w:name w:val="二级条标题"/>
    <w:basedOn w:val="40"/>
    <w:next w:val="36"/>
    <w:qFormat/>
    <w:uiPriority w:val="0"/>
    <w:pPr>
      <w:numPr>
        <w:ilvl w:val="2"/>
      </w:numPr>
      <w:outlineLvl w:val="3"/>
    </w:pPr>
  </w:style>
  <w:style w:type="paragraph" w:customStyle="1" w:styleId="40">
    <w:name w:val="一级条标题"/>
    <w:next w:val="36"/>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paragraph" w:customStyle="1" w:styleId="41">
    <w:name w:val="章标题"/>
    <w:next w:val="36"/>
    <w:qFormat/>
    <w:uiPriority w:val="0"/>
    <w:pPr>
      <w:numPr>
        <w:ilvl w:val="0"/>
        <w:numId w:val="1"/>
      </w:numPr>
      <w:spacing w:beforeLines="100" w:afterLines="100"/>
      <w:jc w:val="both"/>
      <w:outlineLvl w:val="1"/>
    </w:pPr>
    <w:rPr>
      <w:rFonts w:ascii="黑体" w:hAnsi="黑体" w:eastAsia="黑体" w:cs="Times New Roman"/>
      <w:sz w:val="21"/>
      <w:szCs w:val="21"/>
      <w:lang w:val="en-US" w:eastAsia="zh-CN" w:bidi="ar-SA"/>
    </w:rPr>
  </w:style>
  <w:style w:type="paragraph" w:customStyle="1" w:styleId="42">
    <w:name w:val="三级条标题"/>
    <w:basedOn w:val="39"/>
    <w:next w:val="36"/>
    <w:qFormat/>
    <w:uiPriority w:val="0"/>
    <w:pPr>
      <w:numPr>
        <w:ilvl w:val="3"/>
      </w:numPr>
      <w:outlineLvl w:val="4"/>
    </w:pPr>
  </w:style>
  <w:style w:type="paragraph" w:customStyle="1" w:styleId="43">
    <w:name w:val="四级条标题"/>
    <w:basedOn w:val="42"/>
    <w:next w:val="36"/>
    <w:qFormat/>
    <w:uiPriority w:val="0"/>
    <w:pPr>
      <w:numPr>
        <w:ilvl w:val="4"/>
      </w:numPr>
      <w:outlineLvl w:val="5"/>
    </w:pPr>
  </w:style>
  <w:style w:type="paragraph" w:customStyle="1" w:styleId="44">
    <w:name w:val="正文1"/>
    <w:basedOn w:val="1"/>
    <w:link w:val="45"/>
    <w:qFormat/>
    <w:uiPriority w:val="0"/>
    <w:pPr>
      <w:widowControl/>
      <w:ind w:firstLine="200" w:firstLineChars="200"/>
    </w:pPr>
    <w:rPr>
      <w:bCs/>
      <w:szCs w:val="21"/>
    </w:rPr>
  </w:style>
  <w:style w:type="character" w:customStyle="1" w:styleId="45">
    <w:name w:val="正文1 字符"/>
    <w:link w:val="44"/>
    <w:qFormat/>
    <w:uiPriority w:val="0"/>
    <w:rPr>
      <w:bCs/>
      <w:kern w:val="2"/>
      <w:sz w:val="21"/>
      <w:szCs w:val="21"/>
    </w:rPr>
  </w:style>
  <w:style w:type="character" w:customStyle="1" w:styleId="46">
    <w:name w:val="副标题 字符"/>
    <w:basedOn w:val="20"/>
    <w:link w:val="14"/>
    <w:qFormat/>
    <w:uiPriority w:val="11"/>
    <w:rPr>
      <w:rFonts w:ascii="等线 Light" w:hAnsi="等线 Light" w:eastAsia="黑体"/>
      <w:b/>
      <w:bCs/>
      <w:kern w:val="28"/>
      <w:sz w:val="21"/>
      <w:szCs w:val="32"/>
    </w:rPr>
  </w:style>
  <w:style w:type="character" w:customStyle="1" w:styleId="47">
    <w:name w:val="页脚 字符"/>
    <w:link w:val="11"/>
    <w:qFormat/>
    <w:uiPriority w:val="99"/>
    <w:rPr>
      <w:kern w:val="2"/>
      <w:sz w:val="18"/>
      <w:szCs w:val="18"/>
    </w:rPr>
  </w:style>
  <w:style w:type="paragraph" w:customStyle="1" w:styleId="48">
    <w:name w:val="标准书眉_奇数页"/>
    <w:next w:val="1"/>
    <w:qFormat/>
    <w:uiPriority w:val="0"/>
    <w:pPr>
      <w:tabs>
        <w:tab w:val="center" w:pos="4156"/>
        <w:tab w:val="right" w:pos="8306"/>
      </w:tabs>
      <w:spacing w:after="220"/>
      <w:jc w:val="right"/>
    </w:pPr>
    <w:rPr>
      <w:rFonts w:ascii="黑体" w:hAnsi="黑体" w:eastAsia="黑体" w:cs="Times New Roman"/>
      <w:sz w:val="21"/>
      <w:szCs w:val="21"/>
      <w:lang w:val="en-US" w:eastAsia="zh-CN" w:bidi="ar-SA"/>
    </w:rPr>
  </w:style>
  <w:style w:type="paragraph" w:customStyle="1" w:styleId="49">
    <w:name w:val="标准书脚_奇数页"/>
    <w:qFormat/>
    <w:uiPriority w:val="0"/>
    <w:pPr>
      <w:spacing w:before="120"/>
      <w:ind w:right="198"/>
      <w:jc w:val="right"/>
    </w:pPr>
    <w:rPr>
      <w:rFonts w:ascii="宋体" w:hAnsi="宋体" w:eastAsia="宋体" w:cs="Times New Roman"/>
      <w:sz w:val="18"/>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jpe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D58C1E-8BF3-4BD4-A01A-FFB9E264B9E0}">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15</Pages>
  <Words>4528</Words>
  <Characters>5581</Characters>
  <Lines>54</Lines>
  <Paragraphs>15</Paragraphs>
  <TotalTime>0</TotalTime>
  <ScaleCrop>false</ScaleCrop>
  <LinksUpToDate>false</LinksUpToDate>
  <CharactersWithSpaces>5968</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2024-06-18T07:01:00Z</dcterms:created>
  <dc:creator>Lenovo User</dc:creator>
  <cp:lastModifiedBy>Bruis Kim</cp:lastModifiedBy>
  <cp:lastPrinted>2020-03-27T03:01:00Z</cp:lastPrinted>
  <dcterms:modified xsi:type="dcterms:W3CDTF">2024-10-22T08:50:41Z</dcterms:modified>
  <dc:title>JJF</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2414B02AE65942C6B20F545CD7D18820_12</vt:lpwstr>
  </property>
</Properties>
</file>